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12334" w14:textId="77777777" w:rsidR="000F34D9" w:rsidRPr="000F34D9" w:rsidRDefault="000F34D9" w:rsidP="000F34D9">
      <w:pPr>
        <w:pStyle w:val="BodyText"/>
        <w:numPr>
          <w:ilvl w:val="0"/>
          <w:numId w:val="0"/>
        </w:numPr>
        <w:ind w:firstLine="567"/>
        <w:jc w:val="center"/>
        <w:rPr>
          <w:b/>
          <w:bCs/>
          <w:color w:val="161618"/>
          <w:w w:val="105"/>
          <w:lang w:val="fr-CH"/>
        </w:rPr>
      </w:pPr>
      <w:r w:rsidRPr="000F34D9">
        <w:rPr>
          <w:b/>
          <w:bCs/>
          <w:color w:val="161618"/>
          <w:w w:val="105"/>
          <w:lang w:val="fr-CH"/>
        </w:rPr>
        <w:t xml:space="preserve">MEMORANDUM D'ACCORD SUR L'INTERPRETATION DE </w:t>
      </w:r>
      <w:r w:rsidRPr="000F34D9">
        <w:rPr>
          <w:b/>
          <w:bCs/>
          <w:color w:val="161618"/>
          <w:w w:val="105"/>
          <w:lang w:val="fr-CH"/>
        </w:rPr>
        <w:br/>
        <w:t xml:space="preserve">L'ARTICLE 11:1 b) DE L'ACCORD GENERAL SUR LES </w:t>
      </w:r>
      <w:r w:rsidRPr="000F34D9">
        <w:rPr>
          <w:b/>
          <w:bCs/>
          <w:color w:val="161618"/>
          <w:w w:val="105"/>
          <w:lang w:val="fr-CH"/>
        </w:rPr>
        <w:br/>
        <w:t>TARIFS DOUANIERS ET LE COMMERCE DE 1994</w:t>
      </w:r>
    </w:p>
    <w:p w14:paraId="48804E64" w14:textId="77777777" w:rsidR="000F34D9" w:rsidRPr="000F34D9" w:rsidRDefault="000F34D9" w:rsidP="000F34D9">
      <w:pPr>
        <w:pStyle w:val="BodyText"/>
        <w:numPr>
          <w:ilvl w:val="0"/>
          <w:numId w:val="0"/>
        </w:numPr>
        <w:ind w:firstLine="567"/>
        <w:jc w:val="center"/>
        <w:rPr>
          <w:color w:val="161618"/>
          <w:w w:val="105"/>
          <w:lang w:val="fr-CH"/>
        </w:rPr>
      </w:pPr>
    </w:p>
    <w:p w14:paraId="07DBE8CC" w14:textId="77777777" w:rsidR="000F34D9" w:rsidRDefault="000F34D9">
      <w:pPr>
        <w:spacing w:after="200" w:line="276" w:lineRule="auto"/>
        <w:jc w:val="left"/>
        <w:rPr>
          <w:b/>
          <w:bCs/>
          <w:color w:val="161618"/>
          <w:w w:val="105"/>
          <w:lang w:val="fr-CH"/>
        </w:rPr>
      </w:pPr>
      <w:r>
        <w:rPr>
          <w:b/>
          <w:bCs/>
          <w:color w:val="161618"/>
          <w:w w:val="105"/>
          <w:lang w:val="fr-CH"/>
        </w:rPr>
        <w:br w:type="page"/>
      </w:r>
    </w:p>
    <w:p w14:paraId="70E50128" w14:textId="360C1059" w:rsidR="000F34D9" w:rsidRPr="00642BE7" w:rsidRDefault="000F34D9" w:rsidP="000F34D9">
      <w:pPr>
        <w:spacing w:after="480"/>
        <w:jc w:val="center"/>
        <w:rPr>
          <w:b/>
        </w:rPr>
      </w:pPr>
      <w:r w:rsidRPr="00642BE7">
        <w:rPr>
          <w:b/>
          <w:color w:val="1A1A1A"/>
        </w:rPr>
        <w:lastRenderedPageBreak/>
        <w:t xml:space="preserve">MEMORANDUM D'ACCORD SUR L'INTERPRETATION DE </w:t>
      </w:r>
      <w:r w:rsidRPr="00642BE7">
        <w:rPr>
          <w:b/>
          <w:color w:val="1A1A1A"/>
        </w:rPr>
        <w:br/>
        <w:t xml:space="preserve">L'ARTICLE 11:1 b) DE L'ACCORD GENERAL SUR LES </w:t>
      </w:r>
      <w:r w:rsidRPr="00642BE7">
        <w:rPr>
          <w:b/>
          <w:color w:val="1A1A1A"/>
        </w:rPr>
        <w:br/>
        <w:t>TARIFS DOUANIERS ET LE COMMERCE DE 1994</w:t>
      </w:r>
    </w:p>
    <w:p w14:paraId="1C6A5A3D" w14:textId="77777777" w:rsidR="000F34D9" w:rsidRPr="00642BE7" w:rsidRDefault="000F34D9" w:rsidP="000F34D9">
      <w:pPr>
        <w:spacing w:before="84" w:after="240"/>
      </w:pPr>
      <w:r w:rsidRPr="00642BE7">
        <w:rPr>
          <w:color w:val="1A1A1A"/>
        </w:rPr>
        <w:t xml:space="preserve">Les </w:t>
      </w:r>
      <w:r w:rsidRPr="00642BE7">
        <w:rPr>
          <w:i/>
          <w:color w:val="1A1A1A"/>
        </w:rPr>
        <w:t xml:space="preserve">Membres conviennent </w:t>
      </w:r>
      <w:r w:rsidRPr="00642BE7">
        <w:rPr>
          <w:color w:val="1A1A1A"/>
        </w:rPr>
        <w:t>de ce qui suit:</w:t>
      </w:r>
    </w:p>
    <w:p w14:paraId="37148FA2" w14:textId="1A7E9202" w:rsidR="000F34D9" w:rsidRPr="000F34D9" w:rsidRDefault="000F34D9" w:rsidP="000F34D9">
      <w:pPr>
        <w:pStyle w:val="BodyText"/>
        <w:numPr>
          <w:ilvl w:val="6"/>
          <w:numId w:val="19"/>
        </w:numPr>
        <w:tabs>
          <w:tab w:val="clear" w:pos="926"/>
          <w:tab w:val="num" w:pos="567"/>
          <w:tab w:val="num" w:pos="993"/>
        </w:tabs>
        <w:spacing w:before="99"/>
        <w:ind w:left="0" w:firstLine="0"/>
        <w:rPr>
          <w:color w:val="1A1A1A"/>
          <w:lang w:val="fr-CH"/>
        </w:rPr>
      </w:pPr>
      <w:r w:rsidRPr="000F34D9">
        <w:rPr>
          <w:color w:val="1A1A1A"/>
          <w:lang w:val="fr-CH"/>
        </w:rPr>
        <w:t>Pour assurer la transparence des droits et obligations juridiques découlant du paragraphe 1 b) de l'article II, la nature et le niveau des "autres droits ou impositions" perçus sur des positions tarifaires</w:t>
      </w:r>
      <w:r w:rsidRPr="005514FA">
        <w:rPr>
          <w:noProof/>
        </w:rPr>
        <mc:AlternateContent>
          <mc:Choice Requires="wps">
            <w:drawing>
              <wp:anchor distT="0" distB="0" distL="114300" distR="114300" simplePos="0" relativeHeight="251661312" behindDoc="1" locked="0" layoutInCell="1" allowOverlap="1" wp14:anchorId="19C9BA22" wp14:editId="6AF6667F">
                <wp:simplePos x="0" y="0"/>
                <wp:positionH relativeFrom="page">
                  <wp:posOffset>13724890</wp:posOffset>
                </wp:positionH>
                <wp:positionV relativeFrom="paragraph">
                  <wp:posOffset>210820</wp:posOffset>
                </wp:positionV>
                <wp:extent cx="45085" cy="169545"/>
                <wp:effectExtent l="0" t="0" r="0" b="0"/>
                <wp:wrapNone/>
                <wp:docPr id="208"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8094E" w14:textId="77777777" w:rsidR="000F34D9" w:rsidRPr="00BA3A84" w:rsidRDefault="000F34D9" w:rsidP="000F34D9">
                            <w:pPr>
                              <w:spacing w:line="267" w:lineRule="exact"/>
                              <w:rPr>
                                <w:rFonts w:ascii="Arial"/>
                                <w:sz w:val="24"/>
                              </w:rPr>
                            </w:pPr>
                            <w:r w:rsidRPr="00BA3A84">
                              <w:rPr>
                                <w:rFonts w:ascii="Arial"/>
                                <w:color w:val="C3C3C3"/>
                                <w:w w:val="82"/>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C9BA22" id="_x0000_t202" coordsize="21600,21600" o:spt="202" path="m,l,21600r21600,l21600,xe">
                <v:stroke joinstyle="miter"/>
                <v:path gradientshapeok="t" o:connecttype="rect"/>
              </v:shapetype>
              <v:shape id="Text Box 145" o:spid="_x0000_s1026" type="#_x0000_t202" style="position:absolute;left:0;text-align:left;margin-left:1080.7pt;margin-top:16.6pt;width:3.55pt;height:13.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TBs6gEAALgDAAAOAAAAZHJzL2Uyb0RvYy54bWysU9tu2zAMfR+wfxD0vtgJmqIz4hRdiw4D&#10;ugvQ7gNoWbaF2aJGKbGzrx8lJ1nXvg17EWiSOjrnkN5cT0Mv9pq8QVvK5SKXQluFtbFtKb8/3b+7&#10;ksIHsDX0aHUpD9rL6+3bN5vRFXqFHfa1JsEg1hejK2UXgiuyzKtOD+AX6LTlYoM0QOBParOaYGT0&#10;oc9WeX6ZjUi1I1Tae87ezUW5TfhNo1X42jReB9GXkrmFdFI6q3hm2w0ULYHrjDrSgH9gMYCx/OgZ&#10;6g4CiB2ZV1CDUYQem7BQOGTYNEbppIHVLPMXah47cDppYXO8O9vk/x+s+rL/RsLUpVzlPCoLAw/p&#10;SU9BfMBJLC/W0aHR+YIbHx23hokLPOmk1rsHVD+8sHjbgW31DRGOnYaaGS7jzezZ1RnHR5Bq/Iw1&#10;PwS7gAloamiI9rEhgtF5UofzdCIZxcmLdX61lkJxZXn5fj1Ty6A43XXkw0eNg4hBKYlnn7Bh/+BD&#10;5ALFqSU+ZfHe9H2af2//SnBjzCTuke5MPEzVdPSiwvrAKgjndeL156BD+iXFyKtUSv9zB6Sl6D9Z&#10;diLu3SmgU1CdArCKr5YySDGHt2Hez50j03aMPHtt8YbdakySEm2dWRx58nokhcdVjvv3/Dt1/fnh&#10;tr8BAAD//wMAUEsDBBQABgAIAAAAIQBzYlXz4QAAAAsBAAAPAAAAZHJzL2Rvd25yZXYueG1sTI/B&#10;TsMwDIbvSHuHyJO4sbQdq9bSdJoQnJAQXTlwTJusjdY4pcm28vaY0zja/vT7+4vdbAd20ZM3DgXE&#10;qwiYxtYpg52Az/r1YQvMB4lKDg61gB/tYVcu7gqZK3fFSl8OoWMUgj6XAvoQxpxz3/baSr9yo0a6&#10;Hd1kZaBx6ria5JXC7cCTKEq5lQbpQy9H/dzr9nQ4WwH7L6xezPd781EdK1PXWYRv6UmI++W8fwIW&#10;9BxuMPzpkzqU5NS4MyrPBgFJnMaPxApYrxNgRNBmuwHWCNhkGfCy4P87lL8AAAD//wMAUEsBAi0A&#10;FAAGAAgAAAAhALaDOJL+AAAA4QEAABMAAAAAAAAAAAAAAAAAAAAAAFtDb250ZW50X1R5cGVzXS54&#10;bWxQSwECLQAUAAYACAAAACEAOP0h/9YAAACUAQAACwAAAAAAAAAAAAAAAAAvAQAAX3JlbHMvLnJl&#10;bHNQSwECLQAUAAYACAAAACEA1jUwbOoBAAC4AwAADgAAAAAAAAAAAAAAAAAuAgAAZHJzL2Uyb0Rv&#10;Yy54bWxQSwECLQAUAAYACAAAACEAc2JV8+EAAAALAQAADwAAAAAAAAAAAAAAAABEBAAAZHJzL2Rv&#10;d25yZXYueG1sUEsFBgAAAAAEAAQA8wAAAFIFAAAAAA==&#10;" filled="f" stroked="f">
                <v:textbox inset="0,0,0,0">
                  <w:txbxContent>
                    <w:p w14:paraId="1468094E" w14:textId="77777777" w:rsidR="000F34D9" w:rsidRPr="00BA3A84" w:rsidRDefault="000F34D9" w:rsidP="000F34D9">
                      <w:pPr>
                        <w:spacing w:line="267" w:lineRule="exact"/>
                        <w:rPr>
                          <w:rFonts w:ascii="Arial"/>
                          <w:sz w:val="24"/>
                        </w:rPr>
                      </w:pPr>
                      <w:r w:rsidRPr="00BA3A84">
                        <w:rPr>
                          <w:rFonts w:ascii="Arial"/>
                          <w:color w:val="C3C3C3"/>
                          <w:w w:val="82"/>
                          <w:sz w:val="24"/>
                        </w:rPr>
                        <w:t>"</w:t>
                      </w:r>
                    </w:p>
                  </w:txbxContent>
                </v:textbox>
                <w10:wrap anchorx="page"/>
              </v:shape>
            </w:pict>
          </mc:Fallback>
        </mc:AlternateContent>
      </w:r>
      <w:r w:rsidRPr="000F34D9">
        <w:rPr>
          <w:color w:val="1A1A1A"/>
          <w:lang w:val="fr-CH"/>
        </w:rPr>
        <w:t xml:space="preserve"> consolidées, dont il est fait mention dans cette disposition, seront inscrits sur les Listes de concessions</w:t>
      </w:r>
      <w:r w:rsidRPr="000F34D9">
        <w:rPr>
          <w:color w:val="1A1A1A"/>
          <w:lang w:val="fr-CH"/>
        </w:rPr>
        <w:tab/>
      </w:r>
      <w:r w:rsidRPr="000F34D9">
        <w:rPr>
          <w:color w:val="C3C3C3"/>
          <w:lang w:val="fr-CH"/>
        </w:rPr>
        <w:t>,</w:t>
      </w:r>
      <w:r w:rsidRPr="000F34D9">
        <w:rPr>
          <w:color w:val="1A1A1A"/>
          <w:lang w:val="fr-CH"/>
        </w:rPr>
        <w:t>annexées au GATT de 1994 en regard de la position tarifaire à laquelle ils s'appliquent. Il est entendu que cette inscription n'entraîne pas de modification quant à la1icéité des "autres droits ou impositions".</w:t>
      </w:r>
    </w:p>
    <w:p w14:paraId="2AD6F98B" w14:textId="04B41D8A" w:rsidR="000F34D9" w:rsidRPr="000F34D9" w:rsidRDefault="000F34D9" w:rsidP="000F34D9">
      <w:pPr>
        <w:pStyle w:val="BodyText"/>
        <w:numPr>
          <w:ilvl w:val="6"/>
          <w:numId w:val="19"/>
        </w:numPr>
        <w:tabs>
          <w:tab w:val="clear" w:pos="926"/>
          <w:tab w:val="num" w:pos="567"/>
          <w:tab w:val="num" w:pos="993"/>
        </w:tabs>
        <w:spacing w:before="99"/>
        <w:ind w:left="0" w:firstLine="0"/>
        <w:rPr>
          <w:color w:val="1A1A1A"/>
          <w:lang w:val="fr-CH"/>
        </w:rPr>
      </w:pPr>
      <w:r w:rsidRPr="000F34D9">
        <w:rPr>
          <w:color w:val="1A1A1A"/>
          <w:lang w:val="fr-CH"/>
        </w:rPr>
        <w:t>La date à compter de laquelle les "autres droits ou impositions" seront consolidés, aux fins de l'article II, sera le 15 avril 1994. Les "autres droits ou impositions" seront donc inscrits sur les Listes aux niveaux applicables à cette date. A chaque renégociation ultérieure d'une concession, ou lors de la négociation d'une nouvelle concession, la date applicable pour la position tarifaire en question deviendra la date de l'inclusion de la nouvelle concession dans la Liste appropriée. Toutefois, la date de l'instrument par lequel une concession portant sur une position tarifaire donnée a été pour la première fois incluse dans le GATT de 1947 ou le GATT de 1994 continuera aussi d'être inscrite dans la colonne 6 des Listes sur feuillets mobiles.</w:t>
      </w:r>
    </w:p>
    <w:p w14:paraId="14300C1C" w14:textId="3B904987" w:rsidR="000F34D9" w:rsidRPr="000F34D9" w:rsidRDefault="000F34D9" w:rsidP="000F34D9">
      <w:pPr>
        <w:pStyle w:val="BodyText"/>
        <w:numPr>
          <w:ilvl w:val="6"/>
          <w:numId w:val="19"/>
        </w:numPr>
        <w:tabs>
          <w:tab w:val="clear" w:pos="926"/>
          <w:tab w:val="num" w:pos="567"/>
          <w:tab w:val="num" w:pos="993"/>
        </w:tabs>
        <w:spacing w:before="99"/>
        <w:ind w:left="0" w:firstLine="0"/>
        <w:rPr>
          <w:color w:val="1A1A1A"/>
          <w:lang w:val="fr-CH"/>
        </w:rPr>
      </w:pPr>
      <w:r w:rsidRPr="000F34D9">
        <w:rPr>
          <w:color w:val="1A1A1A"/>
          <w:lang w:val="fr-CH"/>
        </w:rPr>
        <w:t>Les "autres droits ou impositions" seront inscrits pour toutes les consolidations tarifaires.</w:t>
      </w:r>
    </w:p>
    <w:p w14:paraId="124D5402" w14:textId="078BADA6" w:rsidR="000F34D9" w:rsidRPr="000F34D9" w:rsidRDefault="000F34D9" w:rsidP="000F34D9">
      <w:pPr>
        <w:pStyle w:val="BodyText"/>
        <w:numPr>
          <w:ilvl w:val="6"/>
          <w:numId w:val="19"/>
        </w:numPr>
        <w:tabs>
          <w:tab w:val="clear" w:pos="926"/>
          <w:tab w:val="num" w:pos="567"/>
          <w:tab w:val="num" w:pos="993"/>
        </w:tabs>
        <w:spacing w:before="99"/>
        <w:ind w:left="0" w:firstLine="0"/>
        <w:rPr>
          <w:lang w:val="fr-CH"/>
        </w:rPr>
      </w:pPr>
      <w:r w:rsidRPr="000F34D9">
        <w:rPr>
          <w:color w:val="1A1A1A"/>
          <w:lang w:val="fr-CH"/>
        </w:rPr>
        <w:t>Dans les cas où une position tarifaire aura déjà fait l'objet d'une concession, le niveau des "autres droits ou impositions" inscrits sur la Liste appropriée ne sera pas supérieur au niveau en vigueur</w:t>
      </w:r>
      <w:r w:rsidRPr="000F34D9">
        <w:rPr>
          <w:color w:val="C3C3C3"/>
          <w:lang w:val="fr-CH"/>
        </w:rPr>
        <w:t xml:space="preserve"> </w:t>
      </w:r>
      <w:r w:rsidRPr="000F34D9">
        <w:rPr>
          <w:color w:val="1A1A1A"/>
          <w:lang w:val="fr-CH"/>
        </w:rPr>
        <w:t>au moment où la concession a été pour la première fois incluse dans ladite Liste. Tout Membre aura</w:t>
      </w:r>
      <w:r w:rsidRPr="000F34D9">
        <w:rPr>
          <w:lang w:val="fr-CH"/>
        </w:rPr>
        <w:t xml:space="preserve"> </w:t>
      </w:r>
      <w:r w:rsidRPr="000F34D9">
        <w:rPr>
          <w:color w:val="1A1A1A"/>
          <w:lang w:val="fr-CH"/>
        </w:rPr>
        <w:t>la faculté de contester l'existence d'"autres droits ou impositions" au motif que ces "autres droits ou impositions" n'existaient pas au moment de la consolidation primitive de la position en question, ainsi que la concordance du niveau inscrit des "autres droits ou impositions" avec le niveau antérieurement consolidé, et ce pendant une période de trois ans après la date d'entrée en vigueur de l'Accord sur l'OMC ou de trois ans après la date du dépôt, auprès du Directeur général de l'OMC, de l'instrument incluant la Liste en question dans le GATT de 1994, si cette date est postérieure.</w:t>
      </w:r>
    </w:p>
    <w:p w14:paraId="3B9C8F4B" w14:textId="50F086A0" w:rsidR="000F34D9" w:rsidRPr="000F34D9" w:rsidRDefault="000F34D9" w:rsidP="000F34D9">
      <w:pPr>
        <w:pStyle w:val="BodyText"/>
        <w:numPr>
          <w:ilvl w:val="6"/>
          <w:numId w:val="19"/>
        </w:numPr>
        <w:tabs>
          <w:tab w:val="clear" w:pos="926"/>
          <w:tab w:val="num" w:pos="567"/>
          <w:tab w:val="num" w:pos="993"/>
        </w:tabs>
        <w:spacing w:before="99"/>
        <w:ind w:left="0" w:firstLine="0"/>
        <w:rPr>
          <w:color w:val="1A1A1A"/>
          <w:lang w:val="fr-CH"/>
        </w:rPr>
      </w:pPr>
      <w:r w:rsidRPr="000F34D9">
        <w:rPr>
          <w:color w:val="1A1A1A"/>
          <w:lang w:val="fr-CH"/>
        </w:rPr>
        <w:t>L'inscription d'"autres droits ou impositions" sur les Listes ne préjuge pas leur compatibilité avec les droits et obligations résultant du GATT de 1994, autres que ceux qui sont visés au paragraphe 4. Tous les Membres conservent le droit de contester à tout moment la compatibilité d'"autres droits ou impositions" avec ces obligations.</w:t>
      </w:r>
    </w:p>
    <w:p w14:paraId="0031FD6D" w14:textId="6FBF3F06" w:rsidR="000F34D9" w:rsidRPr="000F34D9" w:rsidRDefault="000F34D9" w:rsidP="000F34D9">
      <w:pPr>
        <w:pStyle w:val="BodyText"/>
        <w:numPr>
          <w:ilvl w:val="6"/>
          <w:numId w:val="19"/>
        </w:numPr>
        <w:tabs>
          <w:tab w:val="clear" w:pos="926"/>
          <w:tab w:val="num" w:pos="567"/>
          <w:tab w:val="num" w:pos="993"/>
        </w:tabs>
        <w:spacing w:before="99"/>
        <w:ind w:left="0" w:firstLine="0"/>
        <w:rPr>
          <w:color w:val="1A1A1A"/>
          <w:lang w:val="fr-CH"/>
        </w:rPr>
      </w:pPr>
      <w:r w:rsidRPr="000F34D9">
        <w:rPr>
          <w:color w:val="1A1A1A"/>
          <w:lang w:val="fr-CH"/>
        </w:rPr>
        <w:t>Aux fins du présent mémorandum d'accord, les dispositions des articles XXII et XXIII du GATT de 1994, telles qu'elles sont précisées et mises en application par le Mémorandum d'accord sur le règlement des différends, seront d'application.</w:t>
      </w:r>
    </w:p>
    <w:p w14:paraId="18D3F586" w14:textId="61D7DF09" w:rsidR="000F34D9" w:rsidRPr="000F34D9" w:rsidRDefault="000F34D9" w:rsidP="000F34D9">
      <w:pPr>
        <w:pStyle w:val="BodyText"/>
        <w:numPr>
          <w:ilvl w:val="6"/>
          <w:numId w:val="19"/>
        </w:numPr>
        <w:tabs>
          <w:tab w:val="clear" w:pos="926"/>
          <w:tab w:val="num" w:pos="567"/>
          <w:tab w:val="num" w:pos="993"/>
        </w:tabs>
        <w:spacing w:before="99"/>
        <w:ind w:left="0" w:firstLine="0"/>
        <w:rPr>
          <w:color w:val="1A1A1A"/>
          <w:lang w:val="fr-CH"/>
        </w:rPr>
      </w:pPr>
      <w:r w:rsidRPr="000F34D9">
        <w:rPr>
          <w:color w:val="1A1A1A"/>
          <w:lang w:val="fr-CH"/>
        </w:rPr>
        <w:t>Les "autres droits ou impositions" ne figurant pas sur une Liste au moment du dépôt de l'instrument incluant la Liste en question dans le GATT de 1994 auprès, jusqu'à la date d'entrée en</w:t>
      </w:r>
      <w:r w:rsidRPr="000F34D9">
        <w:rPr>
          <w:color w:val="959595"/>
          <w:lang w:val="fr-CH"/>
        </w:rPr>
        <w:t xml:space="preserve"> </w:t>
      </w:r>
      <w:r w:rsidRPr="000F34D9">
        <w:rPr>
          <w:color w:val="1A1A1A"/>
          <w:lang w:val="fr-CH"/>
        </w:rPr>
        <w:t>vigueur de l'Accord sur l'OMC, du Directeur général des PARTIES CONTRACTANTES du GATT de 1947 ou, par la suite, du Directeur général de l'OMC n'y seront pas ajoutés ultérieurement et les "autres droits ou impositions" inscrits à un niveau inférieur à celui qui était en vigueur à la date applicable ne seront pas rétablis à ce niveau, à moins que ces adjonctions ou modifications ne soient apportées dans les six mois qui suivent la date de dépôt de l'instrument.</w:t>
      </w:r>
    </w:p>
    <w:p w14:paraId="1459B77B" w14:textId="4C7BB2B0" w:rsidR="00850889" w:rsidRPr="000F34D9" w:rsidRDefault="000F34D9" w:rsidP="000F34D9">
      <w:pPr>
        <w:pStyle w:val="BodyText"/>
        <w:numPr>
          <w:ilvl w:val="6"/>
          <w:numId w:val="19"/>
        </w:numPr>
        <w:tabs>
          <w:tab w:val="clear" w:pos="926"/>
          <w:tab w:val="num" w:pos="567"/>
          <w:tab w:val="num" w:pos="993"/>
        </w:tabs>
        <w:spacing w:before="99"/>
        <w:ind w:left="0" w:firstLine="0"/>
        <w:rPr>
          <w:lang w:val="fr-CH"/>
        </w:rPr>
      </w:pPr>
      <w:r w:rsidRPr="005514FA">
        <w:rPr>
          <w:noProof/>
        </w:rPr>
        <mc:AlternateContent>
          <mc:Choice Requires="wps">
            <w:drawing>
              <wp:anchor distT="0" distB="0" distL="114300" distR="114300" simplePos="0" relativeHeight="251659264" behindDoc="1" locked="0" layoutInCell="1" allowOverlap="1" wp14:anchorId="09C718B9" wp14:editId="360C1D31">
                <wp:simplePos x="0" y="0"/>
                <wp:positionH relativeFrom="page">
                  <wp:posOffset>423545</wp:posOffset>
                </wp:positionH>
                <wp:positionV relativeFrom="paragraph">
                  <wp:posOffset>2829560</wp:posOffset>
                </wp:positionV>
                <wp:extent cx="20320" cy="53340"/>
                <wp:effectExtent l="0" t="0" r="0" b="0"/>
                <wp:wrapNone/>
                <wp:docPr id="206"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 cy="53340"/>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127A6D" id="Rectangle 144" o:spid="_x0000_s1026" style="position:absolute;margin-left:33.35pt;margin-top:222.8pt;width:1.6pt;height:4.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Qso/gEAANwDAAAOAAAAZHJzL2Uyb0RvYy54bWysU2Fv0zAQ/Y7Ef7D8nSZNu8GiptPUMYQ0&#10;YGLwAxzHSSwcnzm7Tcuv39npugLfEIpk+Xznl/fenVfX+8GwnUKvwVZ8Pss5U1ZCo21X8e/f7t68&#10;48wHYRthwKqKH5Tn1+vXr1ajK1UBPZhGISMQ68vRVbwPwZVZ5mWvBuFn4JSlZAs4iEAhdlmDYiT0&#10;wWRFnl9mI2DjEKTynk5vpyRfJ/y2VTJ8aVuvAjMVJ24hrZjWOq7ZeiXKDoXrtTzSEP/AYhDa0k9P&#10;ULciCLZF/RfUoCWChzbMJAwZtK2WKmkgNfP8DzWPvXAqaSFzvDvZ5P8frPy8e0Cmm4oX+SVnVgzU&#10;pK9km7CdUWy+XEaLRudLqnx0DxhFencP8odnFjY91akbRBh7JRoiNo/12W8XYuDpKqvHT9AQvtgG&#10;SG7tWxwiIPnA9qkph1NT1D4wSYdFviioc5IyF4vFMrUsE+XzVYc+fFAwsLipOBL1BC129z5EKqJ8&#10;LknUwejmThuTAuzqjUG2EzQd74v4Jfak8LzM2FhsIV6bEONJ0hhlTfbU0BxIIsI0YvQkaNMD/uJs&#10;pPGquP+5Fag4Mx8t2XRFzsZ5TMHy4m2UiOeZ+jwjrCSoigfOpu0mTDO8dai7nv40T6It3JC1rU7C&#10;o+0TqyNZGqHkx3Hc44yex6nq5VGunwAAAP//AwBQSwMEFAAGAAgAAAAhAEDgTe7dAAAACQEAAA8A&#10;AABkcnMvZG93bnJldi54bWxMj8tOwzAQRfdI/IM1SOyoA0oMTeNUCFSxYkGoWE9jNwn4EdluEvh6&#10;hhVdzszRnXOr7WINm3SIg3cSblcZMO1arwbXSdi/724egMWETqHxTkv41hG29eVFhaXys3vTU5M6&#10;RiEuliihT2ksOY9try3GlR+1o9vRB4uJxtBxFXCmcGv4XZYJbnFw9KHHUT/1uv1qTlbCT8obMYUP&#10;fHkVhf+cn81uPxkpr6+Wxw2wpJf0D8OfPqlDTU4Hf3IqMiNBiHsiJeR5IYARINZrYAdaFHkGvK74&#10;eYP6FwAA//8DAFBLAQItABQABgAIAAAAIQC2gziS/gAAAOEBAAATAAAAAAAAAAAAAAAAAAAAAABb&#10;Q29udGVudF9UeXBlc10ueG1sUEsBAi0AFAAGAAgAAAAhADj9If/WAAAAlAEAAAsAAAAAAAAAAAAA&#10;AAAALwEAAF9yZWxzLy5yZWxzUEsBAi0AFAAGAAgAAAAhAIpRCyj+AQAA3AMAAA4AAAAAAAAAAAAA&#10;AAAALgIAAGRycy9lMm9Eb2MueG1sUEsBAi0AFAAGAAgAAAAhAEDgTe7dAAAACQEAAA8AAAAAAAAA&#10;AAAAAAAAWAQAAGRycy9kb3ducmV2LnhtbFBLBQYAAAAABAAEAPMAAABiBQAAAAA=&#10;" fillcolor="#e2e2e2" stroked="f">
                <w10:wrap anchorx="page"/>
              </v:rect>
            </w:pict>
          </mc:Fallback>
        </mc:AlternateContent>
      </w:r>
      <w:r w:rsidRPr="000E4DAF">
        <w:rPr>
          <w:noProof/>
        </w:rPr>
        <mc:AlternateContent>
          <mc:Choice Requires="wps">
            <w:drawing>
              <wp:anchor distT="0" distB="0" distL="114300" distR="114300" simplePos="0" relativeHeight="251660288" behindDoc="1" locked="0" layoutInCell="1" allowOverlap="1" wp14:anchorId="09C8AC2F" wp14:editId="72823035">
                <wp:simplePos x="0" y="0"/>
                <wp:positionH relativeFrom="page">
                  <wp:posOffset>599440</wp:posOffset>
                </wp:positionH>
                <wp:positionV relativeFrom="paragraph">
                  <wp:posOffset>2816225</wp:posOffset>
                </wp:positionV>
                <wp:extent cx="34925" cy="74295"/>
                <wp:effectExtent l="0" t="0" r="0" b="0"/>
                <wp:wrapNone/>
                <wp:docPr id="204"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 cy="74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CEC815" w14:textId="77777777" w:rsidR="000F34D9" w:rsidRDefault="000F34D9" w:rsidP="000F34D9">
                            <w:pPr>
                              <w:rPr>
                                <w:sz w:val="10"/>
                              </w:rPr>
                            </w:pPr>
                            <w:r>
                              <w:rPr>
                                <w:color w:val="C3C3C3"/>
                                <w:sz w:val="1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8AC2F" id="Text Box 143" o:spid="_x0000_s1027" type="#_x0000_t202" style="position:absolute;left:0;text-align:left;margin-left:47.2pt;margin-top:221.75pt;width:2.75pt;height:5.8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zrZ7QEAAL4DAAAOAAAAZHJzL2Uyb0RvYy54bWysU8Fu2zAMvQ/YPwi6L07cdFuNOEXXosOA&#10;rhvQ9gNoWY6F2aJGKbGzrx8lJ2m33oZdBIqint57pFaXY9+JnSZv0JZyMZtLoa3C2thNKZ8eb999&#10;lMIHsDV0aHUp99rLy/XbN6vBFTrHFrtak2AQ64vBlbINwRVZ5lWre/AzdNryYYPUQ+AtbbKaYGD0&#10;vsvy+fx9NiDVjlBp7zl7Mx3KdcJvGq3Ct6bxOoiulMwtpJXSWsU1W6+g2BC41qgDDfgHFj0Yy4+e&#10;oG4ggNiSeQXVG0XosQkzhX2GTWOUThpYzWL+l5qHFpxOWtgc7042+f8Hq+5330mYupT5fCmFhZ6b&#10;9KjHID7hKBbLs+jQ4HzBhQ+OS8PIB9zppNa7O1Q/vLB43YLd6CsiHFoNNTNcxJvZi6sTjo8g1fAV&#10;a34ItgET0NhQH+1jQwSjc6f2p+5EMoqTZ8uL/FwKxScflvnFecKH4njVkQ+fNfYiBqUkbn2Cht2d&#10;D5EKFMeS+JLFW9N1qf2d/SPBhTGTqEe2E+8wVmPyKemKsiqs96yFcBoq/gQctEi/pBh4oErpf26B&#10;tBTdF8t+xOk7BnQMqmMAVvHVUgYppvA6TFO6dWQ2LSNPjlu8Ys8akxQ9szjQ5SFJQg8DHafw5T5V&#10;PX+79W8AAAD//wMAUEsDBBQABgAIAAAAIQAiCumW3wAAAAkBAAAPAAAAZHJzL2Rvd25yZXYueG1s&#10;TI/BTsMwDIbvSLxDZCRuLN1oJ9I1nSYEJyREVw4c0yZrozVOabKtvD3mNI62P/3+/mI7u4GdzRSs&#10;RwnLRQLMYOu1xU7CZ/368AQsRIVaDR6NhB8TYFve3hQq1/6ClTnvY8coBEOuJPQxjjnnoe2NU2Hh&#10;R4N0O/jJqUjj1HE9qQuFu4GvkmTNnbJIH3o1mufetMf9yUnYfWH1Yr/fm4/qUNm6Fgm+rY9S3t/N&#10;uw2waOZ4heFPn9ShJKfGn1AHNkgQaUqkhDR9zIARIIQA1tAiy1bAy4L/b1D+AgAA//8DAFBLAQIt&#10;ABQABgAIAAAAIQC2gziS/gAAAOEBAAATAAAAAAAAAAAAAAAAAAAAAABbQ29udGVudF9UeXBlc10u&#10;eG1sUEsBAi0AFAAGAAgAAAAhADj9If/WAAAAlAEAAAsAAAAAAAAAAAAAAAAALwEAAF9yZWxzLy5y&#10;ZWxzUEsBAi0AFAAGAAgAAAAhABQrOtntAQAAvgMAAA4AAAAAAAAAAAAAAAAALgIAAGRycy9lMm9E&#10;b2MueG1sUEsBAi0AFAAGAAgAAAAhACIK6ZbfAAAACQEAAA8AAAAAAAAAAAAAAAAARwQAAGRycy9k&#10;b3ducmV2LnhtbFBLBQYAAAAABAAEAPMAAABTBQAAAAA=&#10;" filled="f" stroked="f">
                <v:textbox inset="0,0,0,0">
                  <w:txbxContent>
                    <w:p w14:paraId="1CCEC815" w14:textId="77777777" w:rsidR="000F34D9" w:rsidRDefault="000F34D9" w:rsidP="000F34D9">
                      <w:pPr>
                        <w:rPr>
                          <w:sz w:val="10"/>
                        </w:rPr>
                      </w:pPr>
                      <w:r>
                        <w:rPr>
                          <w:color w:val="C3C3C3"/>
                          <w:sz w:val="10"/>
                        </w:rPr>
                        <w:t>'•</w:t>
                      </w:r>
                    </w:p>
                  </w:txbxContent>
                </v:textbox>
                <w10:wrap anchorx="page"/>
              </v:shape>
            </w:pict>
          </mc:Fallback>
        </mc:AlternateContent>
      </w:r>
      <w:r w:rsidRPr="000F34D9">
        <w:rPr>
          <w:color w:val="1A1A1A"/>
          <w:lang w:val="fr-CH"/>
        </w:rPr>
        <w:t>La décision mentionnée au paragraphe 2 concernant la date applicable pour chaque concession aux fins du paragraphe 1 b) de l'article II du GATT de 1994 remplace la décision relative à la date applicable prise le 26 mars 1980 (IBDD, S27/25).</w:t>
      </w:r>
    </w:p>
    <w:sectPr w:rsidR="00850889" w:rsidRPr="000F34D9" w:rsidSect="002A15FB">
      <w:headerReference w:type="default" r:id="rId7"/>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24C4B6"/>
    <w:lvl w:ilvl="0">
      <w:start w:val="1"/>
      <w:numFmt w:val="decimal"/>
      <w:pStyle w:val="ListNumber3"/>
      <w:lvlText w:val="%1."/>
      <w:lvlJc w:val="left"/>
      <w:pPr>
        <w:tabs>
          <w:tab w:val="num" w:pos="926"/>
        </w:tabs>
        <w:ind w:left="926" w:hanging="360"/>
      </w:pPr>
      <w:rPr>
        <w:i w:val="0"/>
        <w:iCs/>
      </w:r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CC52177C"/>
    <w:numStyleLink w:val="LegalHeadings"/>
  </w:abstractNum>
  <w:abstractNum w:abstractNumId="14"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4"/>
  </w:num>
  <w:num w:numId="7">
    <w:abstractNumId w:val="13"/>
  </w:num>
  <w:num w:numId="8">
    <w:abstractNumId w:val="12"/>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4"/>
  </w:num>
  <w:num w:numId="22">
    <w:abstractNumId w:val="14"/>
  </w:num>
  <w:num w:numId="23">
    <w:abstractNumId w:val="14"/>
  </w:num>
  <w:num w:numId="24">
    <w:abstractNumId w:val="14"/>
  </w:num>
  <w:num w:numId="25">
    <w:abstractNumId w:val="14"/>
  </w:num>
  <w:num w:numId="26">
    <w:abstractNumId w:val="14"/>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567"/>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0F34D9"/>
    <w:rsid w:val="0011356B"/>
    <w:rsid w:val="0013337F"/>
    <w:rsid w:val="00182B84"/>
    <w:rsid w:val="00190B89"/>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45146"/>
    <w:rsid w:val="0074635B"/>
    <w:rsid w:val="007577E3"/>
    <w:rsid w:val="00760DB3"/>
    <w:rsid w:val="00767204"/>
    <w:rsid w:val="007C3936"/>
    <w:rsid w:val="007C79F0"/>
    <w:rsid w:val="007E6507"/>
    <w:rsid w:val="007F2B8E"/>
    <w:rsid w:val="007F2DB0"/>
    <w:rsid w:val="00801CBB"/>
    <w:rsid w:val="00807247"/>
    <w:rsid w:val="00840C2B"/>
    <w:rsid w:val="00850889"/>
    <w:rsid w:val="008739FD"/>
    <w:rsid w:val="008A7BB6"/>
    <w:rsid w:val="008E372C"/>
    <w:rsid w:val="00920FD4"/>
    <w:rsid w:val="00947C09"/>
    <w:rsid w:val="00982EB8"/>
    <w:rsid w:val="009A6F54"/>
    <w:rsid w:val="009A7E67"/>
    <w:rsid w:val="009B0823"/>
    <w:rsid w:val="00A53DCE"/>
    <w:rsid w:val="00A6057A"/>
    <w:rsid w:val="00A678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B43B2"/>
    <w:rsid w:val="00BE5468"/>
    <w:rsid w:val="00C11EAC"/>
    <w:rsid w:val="00C305D7"/>
    <w:rsid w:val="00C30F2A"/>
    <w:rsid w:val="00C33B55"/>
    <w:rsid w:val="00C43456"/>
    <w:rsid w:val="00C65C0C"/>
    <w:rsid w:val="00C808FC"/>
    <w:rsid w:val="00CC5DCA"/>
    <w:rsid w:val="00CD7D97"/>
    <w:rsid w:val="00CE3EE6"/>
    <w:rsid w:val="00CE4BA1"/>
    <w:rsid w:val="00D000C7"/>
    <w:rsid w:val="00D52A9D"/>
    <w:rsid w:val="00D55AAD"/>
    <w:rsid w:val="00D747AE"/>
    <w:rsid w:val="00D9226C"/>
    <w:rsid w:val="00DA20BD"/>
    <w:rsid w:val="00DE50DB"/>
    <w:rsid w:val="00DF6AE1"/>
    <w:rsid w:val="00E46FD5"/>
    <w:rsid w:val="00E544BB"/>
    <w:rsid w:val="00E56545"/>
    <w:rsid w:val="00E85004"/>
    <w:rsid w:val="00EA5D4F"/>
    <w:rsid w:val="00EB6C56"/>
    <w:rsid w:val="00EB6F21"/>
    <w:rsid w:val="00ED54E0"/>
    <w:rsid w:val="00F01C13"/>
    <w:rsid w:val="00F32397"/>
    <w:rsid w:val="00F40595"/>
    <w:rsid w:val="00F8590C"/>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B89"/>
    <w:pPr>
      <w:spacing w:after="0" w:line="240" w:lineRule="auto"/>
      <w:jc w:val="both"/>
    </w:pPr>
    <w:rPr>
      <w:rFonts w:ascii="Verdana" w:hAnsi="Verdana"/>
      <w:sz w:val="18"/>
      <w:lang w:val="fr-FR"/>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lang w:val="en-GB"/>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lang w:val="en-GB"/>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lang w:val="en-GB"/>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lang w:val="en-GB"/>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lang w:val="en-GB"/>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lang w:val="en-GB"/>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lang w:val="en-GB"/>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lang w:val="en-GB"/>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lang w:val="en-GB"/>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rPr>
      <w:lang w:val="en-GB"/>
    </w:r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rPr>
      <w:lang w:val="en-GB"/>
    </w:r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lang w:val="en-GB"/>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rPr>
      <w:lang w:val="en-GB"/>
    </w:rPr>
  </w:style>
  <w:style w:type="paragraph" w:styleId="ListBullet2">
    <w:name w:val="List Bullet 2"/>
    <w:basedOn w:val="Normal"/>
    <w:uiPriority w:val="1"/>
    <w:rsid w:val="007F2DB0"/>
    <w:pPr>
      <w:numPr>
        <w:ilvl w:val="1"/>
        <w:numId w:val="17"/>
      </w:numPr>
      <w:tabs>
        <w:tab w:val="left" w:pos="1134"/>
      </w:tabs>
      <w:spacing w:after="240"/>
    </w:pPr>
    <w:rPr>
      <w:lang w:val="en-GB"/>
    </w:rPr>
  </w:style>
  <w:style w:type="paragraph" w:styleId="ListBullet3">
    <w:name w:val="List Bullet 3"/>
    <w:basedOn w:val="Normal"/>
    <w:uiPriority w:val="1"/>
    <w:qFormat/>
    <w:rsid w:val="007F2DB0"/>
    <w:pPr>
      <w:numPr>
        <w:ilvl w:val="2"/>
        <w:numId w:val="17"/>
      </w:numPr>
      <w:tabs>
        <w:tab w:val="left" w:pos="1701"/>
      </w:tabs>
      <w:spacing w:after="240"/>
    </w:pPr>
    <w:rPr>
      <w:lang w:val="en-GB"/>
    </w:rPr>
  </w:style>
  <w:style w:type="paragraph" w:styleId="ListBullet4">
    <w:name w:val="List Bullet 4"/>
    <w:basedOn w:val="Normal"/>
    <w:uiPriority w:val="1"/>
    <w:rsid w:val="007F2DB0"/>
    <w:pPr>
      <w:numPr>
        <w:ilvl w:val="3"/>
        <w:numId w:val="17"/>
      </w:numPr>
      <w:spacing w:after="240"/>
    </w:pPr>
    <w:rPr>
      <w:lang w:val="en-GB"/>
    </w:rPr>
  </w:style>
  <w:style w:type="paragraph" w:styleId="ListBullet5">
    <w:name w:val="List Bullet 5"/>
    <w:basedOn w:val="Normal"/>
    <w:uiPriority w:val="1"/>
    <w:rsid w:val="007F2DB0"/>
    <w:pPr>
      <w:numPr>
        <w:ilvl w:val="4"/>
        <w:numId w:val="17"/>
      </w:numPr>
      <w:spacing w:after="240"/>
    </w:pPr>
    <w:rPr>
      <w:lang w:val="en-GB"/>
    </w:r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lang w:val="en-GB"/>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val="en-GB"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val="en-GB"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lang w:val="en-GB"/>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val="en-GB"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val="en-GB"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val="en-GB"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val="en-GB"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val="en-GB"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val="en-GB"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val="en-GB"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val="en-GB"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val="en-GB"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val="en-GB"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val="en-GB"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val="en-GB"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val="en-GB"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val="en-GB"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lang w:val="en-GB"/>
    </w:rPr>
  </w:style>
  <w:style w:type="character" w:customStyle="1" w:styleId="SubtitleChar">
    <w:name w:val="Subtitle Char"/>
    <w:basedOn w:val="DefaultParagraphFont"/>
    <w:link w:val="Subtitle"/>
    <w:uiPriority w:val="6"/>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lang w:val="en-GB"/>
    </w:rPr>
  </w:style>
  <w:style w:type="paragraph" w:customStyle="1" w:styleId="SummarySubheader">
    <w:name w:val="SummarySubheader"/>
    <w:basedOn w:val="Normal"/>
    <w:uiPriority w:val="4"/>
    <w:qFormat/>
    <w:rsid w:val="00FF4616"/>
    <w:pPr>
      <w:spacing w:after="240"/>
      <w:outlineLvl w:val="1"/>
    </w:pPr>
    <w:rPr>
      <w:b/>
      <w:color w:val="006283"/>
      <w:lang w:val="en-GB"/>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lang w:val="en-GB"/>
    </w:rPr>
  </w:style>
  <w:style w:type="paragraph" w:styleId="ListParagraph">
    <w:name w:val="List Paragraph"/>
    <w:basedOn w:val="Normal"/>
    <w:uiPriority w:val="59"/>
    <w:semiHidden/>
    <w:qFormat/>
    <w:rsid w:val="00AA332C"/>
    <w:pPr>
      <w:ind w:left="720"/>
      <w:contextualSpacing/>
    </w:pPr>
    <w:rPr>
      <w:lang w:val="en-GB"/>
    </w:r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lang w:val="en-GB"/>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rPr>
      <w:lang w:val="en-GB"/>
    </w:rPr>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lang w:val="en-GB"/>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rPr>
      <w:lang w:val="en-GB"/>
    </w:r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lang w:val="en-GB"/>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rPr>
      <w:lang w:val="en-GB"/>
    </w:r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lang w:val="en-GB"/>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rPr>
      <w:lang w:val="en-GB"/>
    </w:rPr>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lang w:val="en-GB"/>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rPr>
      <w:lang w:val="en-GB"/>
    </w:rPr>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lang w:val="en-GB"/>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lang w:val="en-GB"/>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lang w:val="en-GB"/>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rPr>
      <w:lang w:val="en-GB"/>
    </w:rPr>
  </w:style>
  <w:style w:type="paragraph" w:styleId="Index2">
    <w:name w:val="index 2"/>
    <w:basedOn w:val="Normal"/>
    <w:next w:val="Normal"/>
    <w:autoRedefine/>
    <w:uiPriority w:val="99"/>
    <w:semiHidden/>
    <w:unhideWhenUsed/>
    <w:rsid w:val="001D0F5C"/>
    <w:pPr>
      <w:ind w:left="360" w:hanging="180"/>
    </w:pPr>
    <w:rPr>
      <w:lang w:val="en-GB"/>
    </w:rPr>
  </w:style>
  <w:style w:type="paragraph" w:styleId="Index3">
    <w:name w:val="index 3"/>
    <w:basedOn w:val="Normal"/>
    <w:next w:val="Normal"/>
    <w:autoRedefine/>
    <w:uiPriority w:val="99"/>
    <w:semiHidden/>
    <w:unhideWhenUsed/>
    <w:rsid w:val="001D0F5C"/>
    <w:pPr>
      <w:ind w:left="540" w:hanging="180"/>
    </w:pPr>
    <w:rPr>
      <w:lang w:val="en-GB"/>
    </w:rPr>
  </w:style>
  <w:style w:type="paragraph" w:styleId="Index4">
    <w:name w:val="index 4"/>
    <w:basedOn w:val="Normal"/>
    <w:next w:val="Normal"/>
    <w:autoRedefine/>
    <w:uiPriority w:val="99"/>
    <w:semiHidden/>
    <w:unhideWhenUsed/>
    <w:rsid w:val="001D0F5C"/>
    <w:pPr>
      <w:ind w:left="720" w:hanging="180"/>
    </w:pPr>
    <w:rPr>
      <w:lang w:val="en-GB"/>
    </w:rPr>
  </w:style>
  <w:style w:type="paragraph" w:styleId="Index5">
    <w:name w:val="index 5"/>
    <w:basedOn w:val="Normal"/>
    <w:next w:val="Normal"/>
    <w:autoRedefine/>
    <w:uiPriority w:val="99"/>
    <w:semiHidden/>
    <w:unhideWhenUsed/>
    <w:rsid w:val="001D0F5C"/>
    <w:pPr>
      <w:ind w:left="900" w:hanging="180"/>
    </w:pPr>
    <w:rPr>
      <w:lang w:val="en-GB"/>
    </w:rPr>
  </w:style>
  <w:style w:type="paragraph" w:styleId="Index6">
    <w:name w:val="index 6"/>
    <w:basedOn w:val="Normal"/>
    <w:next w:val="Normal"/>
    <w:autoRedefine/>
    <w:uiPriority w:val="99"/>
    <w:semiHidden/>
    <w:unhideWhenUsed/>
    <w:rsid w:val="001D0F5C"/>
    <w:pPr>
      <w:ind w:left="1080" w:hanging="180"/>
    </w:pPr>
    <w:rPr>
      <w:lang w:val="en-GB"/>
    </w:rPr>
  </w:style>
  <w:style w:type="paragraph" w:styleId="Index7">
    <w:name w:val="index 7"/>
    <w:basedOn w:val="Normal"/>
    <w:next w:val="Normal"/>
    <w:autoRedefine/>
    <w:uiPriority w:val="99"/>
    <w:semiHidden/>
    <w:unhideWhenUsed/>
    <w:rsid w:val="001D0F5C"/>
    <w:pPr>
      <w:ind w:left="1260" w:hanging="180"/>
    </w:pPr>
    <w:rPr>
      <w:lang w:val="en-GB"/>
    </w:rPr>
  </w:style>
  <w:style w:type="paragraph" w:styleId="Index8">
    <w:name w:val="index 8"/>
    <w:basedOn w:val="Normal"/>
    <w:next w:val="Normal"/>
    <w:autoRedefine/>
    <w:uiPriority w:val="99"/>
    <w:semiHidden/>
    <w:unhideWhenUsed/>
    <w:rsid w:val="001D0F5C"/>
    <w:pPr>
      <w:ind w:left="1440" w:hanging="180"/>
    </w:pPr>
    <w:rPr>
      <w:lang w:val="en-GB"/>
    </w:rPr>
  </w:style>
  <w:style w:type="paragraph" w:styleId="Index9">
    <w:name w:val="index 9"/>
    <w:basedOn w:val="Normal"/>
    <w:next w:val="Normal"/>
    <w:autoRedefine/>
    <w:uiPriority w:val="99"/>
    <w:semiHidden/>
    <w:unhideWhenUsed/>
    <w:rsid w:val="001D0F5C"/>
    <w:pPr>
      <w:ind w:left="1620" w:hanging="180"/>
    </w:pPr>
    <w:rPr>
      <w:lang w:val="en-GB"/>
    </w:r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lang w:val="en-GB"/>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lang w:val="en-GB"/>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rPr>
      <w:lang w:val="en-GB"/>
    </w:rPr>
  </w:style>
  <w:style w:type="paragraph" w:styleId="List2">
    <w:name w:val="List 2"/>
    <w:basedOn w:val="Normal"/>
    <w:uiPriority w:val="99"/>
    <w:semiHidden/>
    <w:unhideWhenUsed/>
    <w:rsid w:val="001D0F5C"/>
    <w:pPr>
      <w:ind w:left="566" w:hanging="283"/>
      <w:contextualSpacing/>
    </w:pPr>
    <w:rPr>
      <w:lang w:val="en-GB"/>
    </w:rPr>
  </w:style>
  <w:style w:type="paragraph" w:styleId="List3">
    <w:name w:val="List 3"/>
    <w:basedOn w:val="Normal"/>
    <w:uiPriority w:val="99"/>
    <w:semiHidden/>
    <w:unhideWhenUsed/>
    <w:rsid w:val="001D0F5C"/>
    <w:pPr>
      <w:ind w:left="849" w:hanging="283"/>
      <w:contextualSpacing/>
    </w:pPr>
    <w:rPr>
      <w:lang w:val="en-GB"/>
    </w:rPr>
  </w:style>
  <w:style w:type="paragraph" w:styleId="List4">
    <w:name w:val="List 4"/>
    <w:basedOn w:val="Normal"/>
    <w:uiPriority w:val="99"/>
    <w:semiHidden/>
    <w:unhideWhenUsed/>
    <w:rsid w:val="001D0F5C"/>
    <w:pPr>
      <w:ind w:left="1132" w:hanging="283"/>
      <w:contextualSpacing/>
    </w:pPr>
    <w:rPr>
      <w:lang w:val="en-GB"/>
    </w:rPr>
  </w:style>
  <w:style w:type="paragraph" w:styleId="List5">
    <w:name w:val="List 5"/>
    <w:basedOn w:val="Normal"/>
    <w:uiPriority w:val="99"/>
    <w:semiHidden/>
    <w:unhideWhenUsed/>
    <w:rsid w:val="001D0F5C"/>
    <w:pPr>
      <w:ind w:left="1415" w:hanging="283"/>
      <w:contextualSpacing/>
    </w:pPr>
    <w:rPr>
      <w:lang w:val="en-GB"/>
    </w:rPr>
  </w:style>
  <w:style w:type="paragraph" w:styleId="ListContinue">
    <w:name w:val="List Continue"/>
    <w:basedOn w:val="Normal"/>
    <w:uiPriority w:val="99"/>
    <w:semiHidden/>
    <w:unhideWhenUsed/>
    <w:rsid w:val="001D0F5C"/>
    <w:pPr>
      <w:spacing w:after="120"/>
      <w:ind w:left="283"/>
      <w:contextualSpacing/>
    </w:pPr>
    <w:rPr>
      <w:lang w:val="en-GB"/>
    </w:rPr>
  </w:style>
  <w:style w:type="paragraph" w:styleId="ListContinue2">
    <w:name w:val="List Continue 2"/>
    <w:basedOn w:val="Normal"/>
    <w:uiPriority w:val="99"/>
    <w:semiHidden/>
    <w:unhideWhenUsed/>
    <w:rsid w:val="001D0F5C"/>
    <w:pPr>
      <w:spacing w:after="120"/>
      <w:ind w:left="566"/>
      <w:contextualSpacing/>
    </w:pPr>
    <w:rPr>
      <w:lang w:val="en-GB"/>
    </w:rPr>
  </w:style>
  <w:style w:type="paragraph" w:styleId="ListContinue3">
    <w:name w:val="List Continue 3"/>
    <w:basedOn w:val="Normal"/>
    <w:uiPriority w:val="99"/>
    <w:semiHidden/>
    <w:unhideWhenUsed/>
    <w:rsid w:val="001D0F5C"/>
    <w:pPr>
      <w:spacing w:after="120"/>
      <w:ind w:left="849"/>
      <w:contextualSpacing/>
    </w:pPr>
    <w:rPr>
      <w:lang w:val="en-GB"/>
    </w:rPr>
  </w:style>
  <w:style w:type="paragraph" w:styleId="ListContinue4">
    <w:name w:val="List Continue 4"/>
    <w:basedOn w:val="Normal"/>
    <w:uiPriority w:val="99"/>
    <w:semiHidden/>
    <w:unhideWhenUsed/>
    <w:rsid w:val="001D0F5C"/>
    <w:pPr>
      <w:spacing w:after="120"/>
      <w:ind w:left="1132"/>
      <w:contextualSpacing/>
    </w:pPr>
    <w:rPr>
      <w:lang w:val="en-GB"/>
    </w:rPr>
  </w:style>
  <w:style w:type="paragraph" w:styleId="ListContinue5">
    <w:name w:val="List Continue 5"/>
    <w:basedOn w:val="Normal"/>
    <w:uiPriority w:val="99"/>
    <w:semiHidden/>
    <w:unhideWhenUsed/>
    <w:rsid w:val="001D0F5C"/>
    <w:pPr>
      <w:spacing w:after="120"/>
      <w:ind w:left="1415"/>
      <w:contextualSpacing/>
    </w:pPr>
    <w:rPr>
      <w:lang w:val="en-GB"/>
    </w:rPr>
  </w:style>
  <w:style w:type="paragraph" w:styleId="ListNumber">
    <w:name w:val="List Number"/>
    <w:basedOn w:val="Normal"/>
    <w:uiPriority w:val="49"/>
    <w:semiHidden/>
    <w:unhideWhenUsed/>
    <w:rsid w:val="001D0F5C"/>
    <w:pPr>
      <w:numPr>
        <w:numId w:val="11"/>
      </w:numPr>
      <w:contextualSpacing/>
    </w:pPr>
    <w:rPr>
      <w:lang w:val="en-GB"/>
    </w:rPr>
  </w:style>
  <w:style w:type="paragraph" w:styleId="ListNumber2">
    <w:name w:val="List Number 2"/>
    <w:basedOn w:val="Normal"/>
    <w:uiPriority w:val="49"/>
    <w:semiHidden/>
    <w:unhideWhenUsed/>
    <w:rsid w:val="001D0F5C"/>
    <w:pPr>
      <w:numPr>
        <w:numId w:val="12"/>
      </w:numPr>
      <w:contextualSpacing/>
    </w:pPr>
    <w:rPr>
      <w:lang w:val="en-GB"/>
    </w:rPr>
  </w:style>
  <w:style w:type="paragraph" w:styleId="ListNumber3">
    <w:name w:val="List Number 3"/>
    <w:basedOn w:val="Normal"/>
    <w:uiPriority w:val="49"/>
    <w:semiHidden/>
    <w:unhideWhenUsed/>
    <w:rsid w:val="001D0F5C"/>
    <w:pPr>
      <w:numPr>
        <w:numId w:val="13"/>
      </w:numPr>
      <w:contextualSpacing/>
    </w:pPr>
    <w:rPr>
      <w:lang w:val="en-GB"/>
    </w:rPr>
  </w:style>
  <w:style w:type="paragraph" w:styleId="ListNumber4">
    <w:name w:val="List Number 4"/>
    <w:basedOn w:val="Normal"/>
    <w:uiPriority w:val="49"/>
    <w:semiHidden/>
    <w:unhideWhenUsed/>
    <w:rsid w:val="001D0F5C"/>
    <w:pPr>
      <w:numPr>
        <w:numId w:val="14"/>
      </w:numPr>
      <w:contextualSpacing/>
    </w:pPr>
    <w:rPr>
      <w:lang w:val="en-GB"/>
    </w:rPr>
  </w:style>
  <w:style w:type="paragraph" w:styleId="ListNumber5">
    <w:name w:val="List Number 5"/>
    <w:basedOn w:val="Normal"/>
    <w:uiPriority w:val="49"/>
    <w:semiHidden/>
    <w:unhideWhenUsed/>
    <w:rsid w:val="001D0F5C"/>
    <w:pPr>
      <w:numPr>
        <w:numId w:val="15"/>
      </w:numPr>
      <w:contextualSpacing/>
    </w:pPr>
    <w:rPr>
      <w:lang w:val="en-GB"/>
    </w:r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lang w:val="en-GB"/>
    </w:rPr>
  </w:style>
  <w:style w:type="paragraph" w:styleId="NormalIndent">
    <w:name w:val="Normal Indent"/>
    <w:basedOn w:val="Normal"/>
    <w:uiPriority w:val="99"/>
    <w:semiHidden/>
    <w:unhideWhenUsed/>
    <w:rsid w:val="001D0F5C"/>
    <w:pPr>
      <w:ind w:left="720"/>
    </w:pPr>
    <w:rPr>
      <w:lang w:val="en-GB"/>
    </w:rPr>
  </w:style>
  <w:style w:type="paragraph" w:styleId="NoteHeading">
    <w:name w:val="Note Heading"/>
    <w:basedOn w:val="Normal"/>
    <w:next w:val="Normal"/>
    <w:link w:val="NoteHeadingChar"/>
    <w:uiPriority w:val="99"/>
    <w:semiHidden/>
    <w:unhideWhenUsed/>
    <w:rsid w:val="001D0F5C"/>
    <w:rPr>
      <w:lang w:val="en-GB"/>
    </w:rPr>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lang w:val="en-GB"/>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lang w:val="en-GB"/>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rPr>
      <w:lang w:val="en-GB"/>
    </w:rPr>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rPr>
      <w:lang w:val="en-GB"/>
    </w:r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lang w:val="en-GB"/>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lang w:val="en-GB"/>
    </w:rPr>
  </w:style>
  <w:style w:type="paragraph" w:customStyle="1" w:styleId="Query">
    <w:name w:val="Query"/>
    <w:qFormat/>
    <w:rsid w:val="00A6787A"/>
    <w:pPr>
      <w:numPr>
        <w:numId w:val="18"/>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603</Words>
  <Characters>3443</Characters>
  <Application>Microsoft Office Word</Application>
  <DocSecurity>0</DocSecurity>
  <Lines>28</Lines>
  <Paragraphs>8</Paragraphs>
  <ScaleCrop>false</ScaleCrop>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Mitchell, Madeleine</cp:lastModifiedBy>
  <cp:revision>3</cp:revision>
  <dcterms:created xsi:type="dcterms:W3CDTF">2022-02-08T22:29:00Z</dcterms:created>
  <dcterms:modified xsi:type="dcterms:W3CDTF">2022-02-09T11:14:00Z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