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AFF3" w14:textId="30BE5D44" w:rsidR="00475C04" w:rsidRPr="00BE7629" w:rsidRDefault="00BE7629" w:rsidP="00475C04">
      <w:pPr>
        <w:pStyle w:val="BodyText"/>
        <w:numPr>
          <w:ilvl w:val="0"/>
          <w:numId w:val="0"/>
        </w:numPr>
        <w:ind w:firstLine="567"/>
        <w:jc w:val="center"/>
        <w:rPr>
          <w:b/>
          <w:bCs/>
          <w:color w:val="161618"/>
          <w:w w:val="105"/>
          <w:lang w:val="fr-CH"/>
        </w:rPr>
      </w:pPr>
      <w:r w:rsidRPr="00BE7629">
        <w:rPr>
          <w:b/>
          <w:bCs/>
          <w:color w:val="161618"/>
          <w:w w:val="105"/>
          <w:lang w:val="fr-CH"/>
        </w:rPr>
        <w:t>MEMORANDUM D'ACCORD SUR L'INTERPRETATION DE</w:t>
      </w:r>
      <w:r w:rsidRPr="00BE7629">
        <w:rPr>
          <w:b/>
          <w:bCs/>
          <w:color w:val="161618"/>
          <w:w w:val="105"/>
          <w:lang w:val="fr-CH"/>
        </w:rPr>
        <w:br/>
        <w:t xml:space="preserve">L'ARTICLE XXIV L'ACCORD GENERAL SUR LES </w:t>
      </w:r>
      <w:r w:rsidRPr="00BE7629">
        <w:rPr>
          <w:b/>
          <w:bCs/>
          <w:color w:val="161618"/>
          <w:w w:val="105"/>
          <w:lang w:val="fr-CH"/>
        </w:rPr>
        <w:br/>
        <w:t>TARIFS DOUANIERS ET LE COMMERCE DE 1994</w:t>
      </w:r>
    </w:p>
    <w:p w14:paraId="4C112334" w14:textId="340A3568" w:rsidR="000F34D9" w:rsidRPr="004C5DC4" w:rsidRDefault="000F34D9" w:rsidP="000F34D9">
      <w:pPr>
        <w:pStyle w:val="BodyText"/>
        <w:numPr>
          <w:ilvl w:val="0"/>
          <w:numId w:val="0"/>
        </w:numPr>
        <w:ind w:firstLine="567"/>
        <w:jc w:val="center"/>
        <w:rPr>
          <w:b/>
          <w:bCs/>
          <w:color w:val="161618"/>
          <w:w w:val="105"/>
          <w:lang w:val="fr-CH"/>
        </w:rPr>
      </w:pPr>
    </w:p>
    <w:p w14:paraId="48804E64" w14:textId="77777777" w:rsidR="000F34D9" w:rsidRPr="000F34D9" w:rsidRDefault="000F34D9" w:rsidP="000F34D9">
      <w:pPr>
        <w:pStyle w:val="BodyText"/>
        <w:numPr>
          <w:ilvl w:val="0"/>
          <w:numId w:val="0"/>
        </w:numPr>
        <w:ind w:firstLine="567"/>
        <w:jc w:val="center"/>
        <w:rPr>
          <w:color w:val="161618"/>
          <w:w w:val="105"/>
          <w:lang w:val="fr-CH"/>
        </w:rPr>
      </w:pPr>
    </w:p>
    <w:p w14:paraId="07DBE8CC" w14:textId="77777777" w:rsidR="000F34D9" w:rsidRDefault="000F34D9">
      <w:pPr>
        <w:spacing w:after="200" w:line="276" w:lineRule="auto"/>
        <w:jc w:val="left"/>
        <w:rPr>
          <w:b/>
          <w:bCs/>
          <w:color w:val="161618"/>
          <w:w w:val="105"/>
          <w:lang w:val="fr-CH"/>
        </w:rPr>
      </w:pPr>
      <w:r>
        <w:rPr>
          <w:b/>
          <w:bCs/>
          <w:color w:val="161618"/>
          <w:w w:val="105"/>
          <w:lang w:val="fr-CH"/>
        </w:rPr>
        <w:br w:type="page"/>
      </w:r>
    </w:p>
    <w:p w14:paraId="71EBA49B" w14:textId="77777777" w:rsidR="00BE7629" w:rsidRPr="00642BE7" w:rsidRDefault="00BE7629" w:rsidP="00BE7629">
      <w:pPr>
        <w:spacing w:after="480"/>
        <w:ind w:firstLine="176"/>
        <w:jc w:val="center"/>
        <w:rPr>
          <w:b/>
          <w:color w:val="282A2A"/>
          <w:szCs w:val="18"/>
        </w:rPr>
      </w:pPr>
      <w:r w:rsidRPr="00642BE7">
        <w:rPr>
          <w:b/>
          <w:color w:val="282A2A"/>
          <w:szCs w:val="18"/>
        </w:rPr>
        <w:lastRenderedPageBreak/>
        <w:t>MEMORANDUM D'ACCORD SUR L'INTERPRETATION DE</w:t>
      </w:r>
      <w:r w:rsidRPr="00642BE7">
        <w:rPr>
          <w:b/>
          <w:color w:val="282A2A"/>
          <w:szCs w:val="18"/>
        </w:rPr>
        <w:br/>
        <w:t xml:space="preserve">L'ARTICLE XXIV DE L'ACCORD GÉNÉRAL SUR LES </w:t>
      </w:r>
      <w:r w:rsidRPr="00642BE7">
        <w:rPr>
          <w:b/>
          <w:color w:val="282A2A"/>
          <w:szCs w:val="18"/>
        </w:rPr>
        <w:br/>
        <w:t xml:space="preserve">TARIFS DOUANIERS </w:t>
      </w:r>
      <w:r w:rsidRPr="00642BE7">
        <w:rPr>
          <w:b/>
          <w:color w:val="131413"/>
        </w:rPr>
        <w:t>ET LE COMMERCE DE 1994</w:t>
      </w:r>
    </w:p>
    <w:p w14:paraId="7816D494" w14:textId="77777777" w:rsidR="00BE7629" w:rsidRPr="00642BE7" w:rsidRDefault="00BE7629" w:rsidP="00BE7629">
      <w:pPr>
        <w:spacing w:after="240"/>
        <w:rPr>
          <w:bCs/>
          <w:i/>
          <w:color w:val="1A1A1C"/>
        </w:rPr>
      </w:pPr>
      <w:r w:rsidRPr="000E4DAF">
        <w:rPr>
          <w:bCs/>
          <w:iCs/>
          <w:color w:val="1A1A1C"/>
        </w:rPr>
        <w:t xml:space="preserve">Les </w:t>
      </w:r>
      <w:r w:rsidRPr="00642BE7">
        <w:rPr>
          <w:bCs/>
          <w:i/>
          <w:color w:val="1A1A1C"/>
        </w:rPr>
        <w:t>Membres,</w:t>
      </w:r>
    </w:p>
    <w:p w14:paraId="1EE61ECA" w14:textId="77777777" w:rsidR="00BE7629" w:rsidRPr="00642BE7" w:rsidRDefault="00BE7629" w:rsidP="00BE7629">
      <w:pPr>
        <w:spacing w:after="240"/>
        <w:ind w:firstLine="567"/>
      </w:pPr>
      <w:r w:rsidRPr="00642BE7">
        <w:rPr>
          <w:i/>
          <w:color w:val="131413"/>
        </w:rPr>
        <w:t xml:space="preserve">Eu égard </w:t>
      </w:r>
      <w:r w:rsidRPr="00642BE7">
        <w:rPr>
          <w:color w:val="131413"/>
        </w:rPr>
        <w:t>aux dispositions de l'article XXIV du GATT de 1994,</w:t>
      </w:r>
    </w:p>
    <w:p w14:paraId="7D37E9F2" w14:textId="77777777" w:rsidR="00BE7629" w:rsidRPr="00642BE7" w:rsidRDefault="00BE7629" w:rsidP="00BE7629">
      <w:pPr>
        <w:spacing w:after="240"/>
        <w:ind w:firstLine="567"/>
      </w:pPr>
      <w:r w:rsidRPr="00642BE7">
        <w:rPr>
          <w:i/>
          <w:color w:val="131413"/>
        </w:rPr>
        <w:t xml:space="preserve">Reconnaissant </w:t>
      </w:r>
      <w:r w:rsidRPr="00642BE7">
        <w:rPr>
          <w:color w:val="131413"/>
        </w:rPr>
        <w:t>que les unions douanières et les zones de libre</w:t>
      </w:r>
      <w:r w:rsidRPr="00642BE7">
        <w:rPr>
          <w:color w:val="131413"/>
        </w:rPr>
        <w:noBreakHyphen/>
        <w:t>échange se sont grandement accrues en nombre et en importance depuis la mise en place du GATT de 1947 et représentent aujourd'hui une proportion significative du commerce mondial,</w:t>
      </w:r>
    </w:p>
    <w:p w14:paraId="6516DC74" w14:textId="77777777" w:rsidR="00BE7629" w:rsidRPr="00642BE7" w:rsidRDefault="00BE7629" w:rsidP="00BE7629">
      <w:pPr>
        <w:spacing w:after="240"/>
        <w:ind w:firstLine="567"/>
      </w:pPr>
      <w:r w:rsidRPr="00642BE7">
        <w:rPr>
          <w:i/>
          <w:color w:val="131413"/>
        </w:rPr>
        <w:t xml:space="preserve">Reconnaissant </w:t>
      </w:r>
      <w:r w:rsidRPr="00642BE7">
        <w:rPr>
          <w:color w:val="131413"/>
        </w:rPr>
        <w:t>la contribution qu'une intégration plus étroite des économies des parties à de tels accords peut apporter à l'expansion du commerce mondial,</w:t>
      </w:r>
    </w:p>
    <w:p w14:paraId="39142B94" w14:textId="77777777" w:rsidR="00BE7629" w:rsidRPr="00642BE7" w:rsidRDefault="00BE7629" w:rsidP="00BE7629">
      <w:pPr>
        <w:spacing w:after="240"/>
        <w:ind w:firstLine="567"/>
      </w:pPr>
      <w:r w:rsidRPr="00642BE7">
        <w:rPr>
          <w:bCs/>
          <w:i/>
          <w:color w:val="1A1A1C"/>
        </w:rPr>
        <w:t>Reconnaissant aussi que cette contribution est plus grande si l'élimination des droits de</w:t>
      </w:r>
      <w:r w:rsidRPr="00642BE7">
        <w:rPr>
          <w:color w:val="131413"/>
        </w:rPr>
        <w:t xml:space="preserve"> douane et des autres réglementations commerciales restrictives entre les territoires, constitutifs s'étend à tout le commerce, et plus petite si un secteur majeur du commerce est exclu,</w:t>
      </w:r>
    </w:p>
    <w:p w14:paraId="55D893A6" w14:textId="77777777" w:rsidR="00BE7629" w:rsidRPr="00642BE7" w:rsidRDefault="00BE7629" w:rsidP="00BE7629">
      <w:pPr>
        <w:spacing w:after="240"/>
        <w:ind w:firstLine="567"/>
      </w:pPr>
      <w:r w:rsidRPr="00642BE7">
        <w:rPr>
          <w:bCs/>
          <w:i/>
          <w:color w:val="1A1A1C"/>
        </w:rPr>
        <w:t>Réaffirmant</w:t>
      </w:r>
      <w:r w:rsidRPr="00642BE7">
        <w:rPr>
          <w:i/>
          <w:color w:val="131413"/>
        </w:rPr>
        <w:t xml:space="preserve"> </w:t>
      </w:r>
      <w:r w:rsidRPr="00642BE7">
        <w:rPr>
          <w:color w:val="131413"/>
        </w:rPr>
        <w:t>que de tels accords devraient avoir pour objet de faciliter le commerce entre les territoires constitutifs et non</w:t>
      </w:r>
      <w:r>
        <w:rPr>
          <w:color w:val="131413"/>
        </w:rPr>
        <w:t xml:space="preserve"> </w:t>
      </w:r>
      <w:r w:rsidRPr="00642BE7">
        <w:rPr>
          <w:color w:val="131413"/>
        </w:rPr>
        <w:t>d'opposer des obstacles au commerce d'autres Membres avec ces territoires, et que les parties qui concluent de tels accords ou en élargissent la portée doivent dans toute la mesure du possible éviter que des effets défavorables n'en résultent pour le commerce d'autres Membres,</w:t>
      </w:r>
    </w:p>
    <w:p w14:paraId="70A51AB2" w14:textId="77777777" w:rsidR="00BE7629" w:rsidRPr="00642BE7" w:rsidRDefault="00BE7629" w:rsidP="00BE7629">
      <w:pPr>
        <w:spacing w:after="240"/>
        <w:ind w:firstLine="567"/>
      </w:pPr>
      <w:r w:rsidRPr="00642BE7">
        <w:rPr>
          <w:i/>
          <w:color w:val="131413"/>
        </w:rPr>
        <w:t xml:space="preserve">Convaincus </w:t>
      </w:r>
      <w:r w:rsidRPr="00642BE7">
        <w:rPr>
          <w:color w:val="131413"/>
        </w:rPr>
        <w:t>aussi de la nécessité de renforcer l'efficacité de l'examen par le Conseil du commerce des marchandises des accords notifiés au titre de l'article</w:t>
      </w:r>
      <w:r>
        <w:rPr>
          <w:color w:val="131413"/>
        </w:rPr>
        <w:t> </w:t>
      </w:r>
      <w:r w:rsidRPr="00642BE7">
        <w:rPr>
          <w:color w:val="131413"/>
        </w:rPr>
        <w:t>XXIV, en clarifiant les critères et procédures d'évaluation des accords nouveaux ou élargis et en améliorant la transparence de tous les accords conclus au titre de l'article</w:t>
      </w:r>
      <w:r>
        <w:rPr>
          <w:color w:val="131413"/>
        </w:rPr>
        <w:t> </w:t>
      </w:r>
      <w:r w:rsidRPr="00642BE7">
        <w:rPr>
          <w:color w:val="131413"/>
        </w:rPr>
        <w:t>XXIV,</w:t>
      </w:r>
    </w:p>
    <w:p w14:paraId="08FE253D" w14:textId="77777777" w:rsidR="00BE7629" w:rsidRPr="00642BE7" w:rsidRDefault="00BE7629" w:rsidP="00BE7629">
      <w:pPr>
        <w:spacing w:after="240"/>
        <w:ind w:firstLine="567"/>
      </w:pPr>
      <w:r w:rsidRPr="00642BE7">
        <w:rPr>
          <w:i/>
          <w:color w:val="131413"/>
        </w:rPr>
        <w:t xml:space="preserve">Reconnaissant </w:t>
      </w:r>
      <w:r w:rsidRPr="00642BE7">
        <w:rPr>
          <w:color w:val="131413"/>
        </w:rPr>
        <w:t>la nécessité d'une communauté de vues concernant les obligations des Membres au titre du paragraphe</w:t>
      </w:r>
      <w:r>
        <w:rPr>
          <w:color w:val="131413"/>
        </w:rPr>
        <w:t> </w:t>
      </w:r>
      <w:r w:rsidRPr="00642BE7">
        <w:rPr>
          <w:color w:val="131413"/>
        </w:rPr>
        <w:t>12 de l'article</w:t>
      </w:r>
      <w:r>
        <w:rPr>
          <w:color w:val="131413"/>
        </w:rPr>
        <w:t> </w:t>
      </w:r>
      <w:r w:rsidRPr="00642BE7">
        <w:rPr>
          <w:color w:val="131413"/>
        </w:rPr>
        <w:t>XXIV,</w:t>
      </w:r>
    </w:p>
    <w:p w14:paraId="18E75155" w14:textId="77777777" w:rsidR="00BE7629" w:rsidRPr="00642BE7" w:rsidRDefault="00BE7629" w:rsidP="00BE7629">
      <w:pPr>
        <w:spacing w:after="240"/>
        <w:ind w:firstLine="567"/>
      </w:pPr>
      <w:r w:rsidRPr="00642BE7">
        <w:rPr>
          <w:i/>
          <w:color w:val="131413"/>
        </w:rPr>
        <w:t xml:space="preserve">Conviennent </w:t>
      </w:r>
      <w:r w:rsidRPr="00642BE7">
        <w:rPr>
          <w:color w:val="131413"/>
        </w:rPr>
        <w:t xml:space="preserve">de ce qui </w:t>
      </w:r>
      <w:proofErr w:type="gramStart"/>
      <w:r w:rsidRPr="00642BE7">
        <w:rPr>
          <w:color w:val="131413"/>
        </w:rPr>
        <w:t>suit:</w:t>
      </w:r>
      <w:proofErr w:type="gramEnd"/>
    </w:p>
    <w:p w14:paraId="7D27D7E2" w14:textId="3C71D586"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Pour être conformes à l'article XXIV, les unions douanières, zones de libre</w:t>
      </w:r>
      <w:r w:rsidRPr="00BE7629">
        <w:rPr>
          <w:color w:val="131413"/>
          <w:lang w:val="fr-CH"/>
        </w:rPr>
        <w:noBreakHyphen/>
        <w:t>échange et accords provisoires conclus en vue de l'établissement d'une union douanière ou d'une zone de libre</w:t>
      </w:r>
      <w:r w:rsidRPr="00BE7629">
        <w:rPr>
          <w:color w:val="131413"/>
          <w:lang w:val="fr-CH"/>
        </w:rPr>
        <w:noBreakHyphen/>
        <w:t>échange, doivent satisfaire, entre autres, aux dispositions des paragraphes 5, 6, 7 et 8 de cet article.</w:t>
      </w:r>
    </w:p>
    <w:p w14:paraId="7C91E72B" w14:textId="77777777" w:rsidR="00BE7629" w:rsidRPr="00642BE7" w:rsidRDefault="00BE7629" w:rsidP="00BE7629">
      <w:pPr>
        <w:spacing w:after="240"/>
        <w:rPr>
          <w:i/>
        </w:rPr>
      </w:pPr>
      <w:r w:rsidRPr="00642BE7">
        <w:rPr>
          <w:i/>
          <w:color w:val="131413"/>
        </w:rPr>
        <w:t xml:space="preserve">Article </w:t>
      </w:r>
      <w:proofErr w:type="gramStart"/>
      <w:r w:rsidRPr="00642BE7">
        <w:rPr>
          <w:i/>
          <w:color w:val="131413"/>
        </w:rPr>
        <w:t>XXIV:</w:t>
      </w:r>
      <w:proofErr w:type="gramEnd"/>
      <w:r w:rsidRPr="00642BE7">
        <w:rPr>
          <w:i/>
          <w:color w:val="131413"/>
        </w:rPr>
        <w:t>5</w:t>
      </w:r>
    </w:p>
    <w:p w14:paraId="045E5662" w14:textId="7619434D"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L'évaluation au titre du paragraphe 5 a) de l'article XXIV de l'incidence générale des droits de douane et autres réglementations commerciales applicables avant et après l'établissement d'une union douanière se fera en ce qui concerne les droits de douane et impositions sur la base d'une évaluation globale des taux de droits moyens pondérés et des droits de douane perçus. Seront utilisées pour cette</w:t>
      </w:r>
      <w:r w:rsidRPr="00BE7629">
        <w:rPr>
          <w:lang w:val="fr-CH"/>
        </w:rPr>
        <w:t xml:space="preserve"> </w:t>
      </w:r>
      <w:r w:rsidRPr="00BE7629">
        <w:rPr>
          <w:color w:val="131413"/>
          <w:lang w:val="fr-CH"/>
        </w:rPr>
        <w:t xml:space="preserve">évaluation les statistiques des importations faites pendant une période </w:t>
      </w:r>
      <w:proofErr w:type="gramStart"/>
      <w:r w:rsidRPr="00BE7629">
        <w:rPr>
          <w:color w:val="131413"/>
          <w:lang w:val="fr-CH"/>
        </w:rPr>
        <w:t>représentative</w:t>
      </w:r>
      <w:proofErr w:type="gramEnd"/>
      <w:r w:rsidRPr="00BE7629">
        <w:rPr>
          <w:color w:val="131413"/>
          <w:lang w:val="fr-CH"/>
        </w:rPr>
        <w:t xml:space="preserve"> antérieure qui seront communiquées par l'union douanière, par ligne tarifaire, en valeur et en volume, ventilées par pays d'origine membre de l'OMC. Le Secrétariat calculera les taux de droits moyens pondérés et les droits de douane perçus selon la méthodologie utilisée dans l'évaluation des offres tarifaires faites au cours des Négociations commerciales multilatérales du Cycle d'Uruguay. A cette fin, les droits de douane et impositions à prendre en considération seront les taux de droits appliqués. Il est reconnu qu'aux fins de l'évaluation globale de l'incidence des autres réglementations commerciales qu'il est difficile de quantifier et d'agréger, l'examen de chaque mesure, réglementation, produit visé et flux commercial affecté pourra être nécessaire.</w:t>
      </w:r>
    </w:p>
    <w:p w14:paraId="3224A786" w14:textId="3515C778"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Le "délai raisonnable" mentionné au paragraphe 5 c) de l'article XXIV ne devrait dépasser 10 ans que dans des cas exceptionnels. Dans les cas où des Membres parties à un accord provisoire estimeront que 10 ans seraient insuffisants, ils expliqueront en détail au Conseil du commerce des marchandises pourquoi un délai plus long est nécessaire.</w:t>
      </w:r>
    </w:p>
    <w:p w14:paraId="433B82D1" w14:textId="77777777" w:rsidR="00BE7629" w:rsidRPr="00642BE7" w:rsidRDefault="00BE7629" w:rsidP="00BE7629">
      <w:pPr>
        <w:keepNext/>
        <w:spacing w:after="240"/>
        <w:rPr>
          <w:i/>
          <w:color w:val="131413"/>
        </w:rPr>
      </w:pPr>
      <w:r w:rsidRPr="00642BE7">
        <w:rPr>
          <w:i/>
          <w:color w:val="131413"/>
        </w:rPr>
        <w:lastRenderedPageBreak/>
        <w:t xml:space="preserve">Article </w:t>
      </w:r>
      <w:proofErr w:type="gramStart"/>
      <w:r w:rsidRPr="00642BE7">
        <w:rPr>
          <w:i/>
          <w:color w:val="131413"/>
        </w:rPr>
        <w:t>XXIV:</w:t>
      </w:r>
      <w:proofErr w:type="gramEnd"/>
      <w:r w:rsidRPr="00642BE7">
        <w:rPr>
          <w:i/>
          <w:color w:val="131413"/>
        </w:rPr>
        <w:t>6</w:t>
      </w:r>
    </w:p>
    <w:p w14:paraId="5D165C2C" w14:textId="7686C78D"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Le paragraphe 6 de l'article XXIV fixe la procédure à suivre lorsqu'un Membre établissant une union douanière se propose de relever un droit consolidé. A cet égard, les Membres réaffirment que la procédure de l'article XXVIII, précisée dans les lignes directrices adoptées le 10 novembre 1980 (IBDD, S27/27</w:t>
      </w:r>
      <w:r w:rsidRPr="00BE7629">
        <w:rPr>
          <w:color w:val="131413"/>
          <w:lang w:val="fr-CH"/>
        </w:rPr>
        <w:noBreakHyphen/>
        <w:t>29) et dans le Mémorandum d'accord sur l'interprétation de l'article XXVIII du GATT de 1994, doit être engagée avant que des concessions tarifaires ne soient modifiées ou retirées lors de l'établissement d'une union douanière ou de la conclusion d'un accord provisoire en vue de l'établissement d'une union douanière.</w:t>
      </w:r>
    </w:p>
    <w:p w14:paraId="3DDAF26E" w14:textId="7AA92A64"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Ces négociations seront engagées de bonne foi en vue d'arriver à des compensations mutuellement satisfaisantes. Au cours de ces négociations, comme l'exige le paragraphe 6 de l'article XXIV, il sera dûment tenu compte des réductions de droits de douane sur la même ligne tarifaire faites par d'autres entités constitutives de l'union douanière lors de l'établissement de cette union. Au cas où ces réductions ne seraient pas suffisantes pour constituer les compensations nécessaires, l'union douanière offrirait des compensations, qui pourront prendre la forme de réductions de droits de douane sur d'autres lignes tarifaires. Une telle offre sera prise en considération par les Membres ayant des droits de négociateur dans la consolidation modifiée ou retirée. Au cas où les compensations demeureraient inacceptables, les négociations devraient se poursuivre. Lorsque, malgré ces efforts, un accord dans les négociations sur les compensations à prévoir au titre de l'article XXVIII, tel qu'il est précisé par le Mémorandum d'accord sur l'interprétation de l'article XXVIII du GATT de 1994, ne pourra pas intervenir dans un délai raisonnable à compter de l'ouverture des négociations, l'union douanière sera néanmoins libre de modifier ou de retirer les concessions; les Membres affectés seront alors libres de retirer des concessions substantiellement équivalentes conformément à l'article XXVIII.</w:t>
      </w:r>
    </w:p>
    <w:p w14:paraId="139335C3" w14:textId="5EBE7CE3"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Le GATT de 1994 n'impose pas aux Membres bénéficiant d'une réduction des droits de douane à la suite de l'établissement d'une union douanière, ou d'un accord provisoire conclu en vue de l'établissement d'une union douanière, l'obligation de fournir à ses entités constitutives des compensations.</w:t>
      </w:r>
    </w:p>
    <w:p w14:paraId="11823E7A" w14:textId="77777777" w:rsidR="00BE7629" w:rsidRPr="00642BE7" w:rsidRDefault="00BE7629" w:rsidP="00BE7629">
      <w:pPr>
        <w:spacing w:after="240"/>
        <w:rPr>
          <w:i/>
          <w:color w:val="131413"/>
        </w:rPr>
      </w:pPr>
      <w:r w:rsidRPr="00642BE7">
        <w:rPr>
          <w:i/>
          <w:color w:val="131413"/>
        </w:rPr>
        <w:t>Examen des unions douanières et zones de libre</w:t>
      </w:r>
      <w:r w:rsidRPr="00642BE7">
        <w:rPr>
          <w:i/>
          <w:color w:val="131413"/>
        </w:rPr>
        <w:noBreakHyphen/>
        <w:t>échange</w:t>
      </w:r>
    </w:p>
    <w:p w14:paraId="4CA3907B" w14:textId="578584D0"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Toutes les notifications faites au titre du paragraphe 7 a) de l'article XXIV seront examinées par un groupe de travail à la lumière des dispositions pertinentes du GATT de 1994 et du paragraphe 1 du présent mémorandum d'accord. Le groupe de travail présentera un rapport au Conseil du commerce des marchandises sur ses constatations en la matière. Le Conseil du commerce des marchandises pourra adresser aux Membres les recommandations qu'il jugera appropriées.</w:t>
      </w:r>
    </w:p>
    <w:p w14:paraId="39EAA76F" w14:textId="52653150"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En ce qui concerne les accords provisoires, le groupe de travail pourra dans son rapport formuler des recommandations appropriées quant au calendrier proposé et aux mesures nécessaires à la mise en place définitive de l'union douanière ou de la zone de libre</w:t>
      </w:r>
      <w:r w:rsidRPr="00BE7629">
        <w:rPr>
          <w:color w:val="131413"/>
          <w:lang w:val="fr-CH"/>
        </w:rPr>
        <w:noBreakHyphen/>
        <w:t>échange. Il pourra, si nécessaire, prévoir un nouvel examen de l'accord.</w:t>
      </w:r>
    </w:p>
    <w:p w14:paraId="7A26249D" w14:textId="6810FF8D"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Les Membres parties à un accord provisoire notifieront les modifications substantielles du plan et du programme compris dans cet accord au Conseil du commerce des marchandises qui, si demande lui en est faite, examinera ces modifications.</w:t>
      </w:r>
    </w:p>
    <w:p w14:paraId="24578C54" w14:textId="4346ECC7"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Au cas où, contrairement à ce qui est prévu au paragraphe 5 c) de l'article XXIV, un accord provisoire notifié conformément au paragraphe 7 a) de l'article XXIV ne comprendrait pas un plan et un programme, le groupe de travail recommandera dans son rapport un tel plan et un tel programme. Les parties ne maintiendront pas, ou s'abstiendront de mettre en vigueur, selon le cas, un tel accord si elles ne sont pas prêtes à le modifier dans le sens de ces recommandations. Il sera prévu un examen ultérieur de la mise en œuvre desdites recommandations.</w:t>
      </w:r>
    </w:p>
    <w:p w14:paraId="4DAF3E91" w14:textId="46403EC1"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Les unions douanières et les entités constitutives des zones de libre</w:t>
      </w:r>
      <w:r w:rsidRPr="00BE7629">
        <w:rPr>
          <w:color w:val="131413"/>
          <w:lang w:val="fr-CH"/>
        </w:rPr>
        <w:noBreakHyphen/>
        <w:t>échange feront rapport périodiquement au Conseil du commerce des marchandises, ainsi que les PARTIES CONTRACTANTES du GATT de 1947 l'ont envisagé dans l'instruction donnée au Conseil du GATT de 1947 au sujet des rapports sur les accords régionaux (IBDD, S18/42), sur le fonctionnement de l'accord considéré. Toutes modifications et/ou tous faits nouveaux notables concernant un accord devraient être notifiés dès qu'ils interviendront.</w:t>
      </w:r>
    </w:p>
    <w:p w14:paraId="57002886" w14:textId="77777777" w:rsidR="00BE7629" w:rsidRPr="00642BE7" w:rsidRDefault="00BE7629" w:rsidP="00BE7629">
      <w:pPr>
        <w:spacing w:after="240"/>
        <w:rPr>
          <w:i/>
          <w:color w:val="131413"/>
        </w:rPr>
      </w:pPr>
      <w:r w:rsidRPr="00642BE7">
        <w:rPr>
          <w:i/>
          <w:color w:val="131413"/>
        </w:rPr>
        <w:lastRenderedPageBreak/>
        <w:t>Règlement des différends</w:t>
      </w:r>
    </w:p>
    <w:p w14:paraId="3C1F9371" w14:textId="4D805513" w:rsidR="00BE7629" w:rsidRPr="00BE762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 xml:space="preserve">Les </w:t>
      </w:r>
      <w:r w:rsidRPr="00BE7629">
        <w:rPr>
          <w:lang w:val="fr-CH"/>
        </w:rPr>
        <w:t>dispositions</w:t>
      </w:r>
      <w:r w:rsidRPr="00BE7629">
        <w:rPr>
          <w:color w:val="131413"/>
          <w:lang w:val="fr-CH"/>
        </w:rPr>
        <w:t xml:space="preserve"> des articles XXII et XXIII du GATT de 1994, telles qu'elles sont précisées et mises en application par le Mémorandum d'accord sur le règlement des différends, pourront être invoquées pour ce qui est de toutes questions découlant de l'application des dispositions de l'article XXIV relatives aux unions douanières, aux zones de libre</w:t>
      </w:r>
      <w:r w:rsidRPr="00BE7629">
        <w:rPr>
          <w:color w:val="131413"/>
          <w:lang w:val="fr-CH"/>
        </w:rPr>
        <w:noBreakHyphen/>
        <w:t>échange ou aux accords provisoires conclus en vue de l'établissement d'une union douanière ou d'une zone de libre</w:t>
      </w:r>
      <w:r w:rsidRPr="00BE7629">
        <w:rPr>
          <w:color w:val="131413"/>
          <w:lang w:val="fr-CH"/>
        </w:rPr>
        <w:noBreakHyphen/>
        <w:t>échange.</w:t>
      </w:r>
    </w:p>
    <w:p w14:paraId="22682C12" w14:textId="77777777" w:rsidR="00BE7629" w:rsidRPr="00642BE7" w:rsidRDefault="00BE7629" w:rsidP="00BE7629">
      <w:pPr>
        <w:spacing w:after="240"/>
        <w:rPr>
          <w:i/>
          <w:color w:val="131413"/>
        </w:rPr>
      </w:pPr>
      <w:r w:rsidRPr="00642BE7">
        <w:rPr>
          <w:i/>
          <w:color w:val="131413"/>
        </w:rPr>
        <w:t xml:space="preserve">Article </w:t>
      </w:r>
      <w:proofErr w:type="gramStart"/>
      <w:r w:rsidRPr="00642BE7">
        <w:rPr>
          <w:i/>
          <w:color w:val="131413"/>
        </w:rPr>
        <w:t>XXIV:</w:t>
      </w:r>
      <w:proofErr w:type="gramEnd"/>
      <w:r w:rsidRPr="00642BE7">
        <w:rPr>
          <w:i/>
          <w:color w:val="131413"/>
        </w:rPr>
        <w:t>12</w:t>
      </w:r>
    </w:p>
    <w:p w14:paraId="116F7619" w14:textId="64459CF6" w:rsidR="00BE7629" w:rsidRPr="00BE7629" w:rsidRDefault="00BE7629" w:rsidP="00BE7629">
      <w:pPr>
        <w:pStyle w:val="BodyText"/>
        <w:numPr>
          <w:ilvl w:val="6"/>
          <w:numId w:val="11"/>
        </w:numPr>
        <w:tabs>
          <w:tab w:val="clear" w:pos="926"/>
          <w:tab w:val="num" w:pos="567"/>
          <w:tab w:val="num" w:pos="993"/>
        </w:tabs>
        <w:ind w:left="0" w:firstLine="0"/>
        <w:rPr>
          <w:color w:val="131413"/>
          <w:lang w:val="fr-CH"/>
        </w:rPr>
      </w:pPr>
      <w:r w:rsidRPr="00BE7629">
        <w:rPr>
          <w:color w:val="131413"/>
          <w:lang w:val="fr-CH"/>
        </w:rPr>
        <w:t>Chaque Membre est pleinement responsable au titre du GATT de 1994 de l'observation de toutes les dispositions du GATT de 1994 et prendra toutes mesures raisonnables en son pouvoir pour que, sur son territoire, les gouvernements et administrations régionaux et locaux observent lesdites dispositions.</w:t>
      </w:r>
    </w:p>
    <w:p w14:paraId="7C126276" w14:textId="19A5D1AD" w:rsidR="00BE7629" w:rsidRPr="00BE7629" w:rsidRDefault="00BE7629" w:rsidP="00BE7629">
      <w:pPr>
        <w:pStyle w:val="BodyText"/>
        <w:numPr>
          <w:ilvl w:val="6"/>
          <w:numId w:val="11"/>
        </w:numPr>
        <w:tabs>
          <w:tab w:val="clear" w:pos="926"/>
          <w:tab w:val="num" w:pos="567"/>
          <w:tab w:val="num" w:pos="993"/>
        </w:tabs>
        <w:ind w:left="0" w:firstLine="0"/>
        <w:rPr>
          <w:color w:val="131413"/>
          <w:lang w:val="fr-CH"/>
        </w:rPr>
      </w:pPr>
      <w:r w:rsidRPr="00BE7629">
        <w:rPr>
          <w:color w:val="131413"/>
          <w:lang w:val="fr-CH"/>
        </w:rPr>
        <w:t>Les dispositions des articles XXII et XXIII du GATT de 1994, telles qu'elles sont précisées et mises en application par le Mémorandum d'accord sur le règlement des différends, pourront être invoquées pour ce qui est des mesures affectant l'observation du GATT de 1994 prises par des gouvernements ou administrations régionaux ou locaux sur le territoire d'un Membre. Lorsque l'Organe de règlement des différends aura déterminé qu'une disposition du GATT de 1994 n'a pas été observée, le Membre responsable prendra toutes mesures raisonnables en son pouvoir pour que ladite disposition soit observée. Les dispositions relatives à la compensation et à la suspension de concessions ou autres obligations s'appliquent dans les cas où il n'a pas été possible de faire observer une disposition.</w:t>
      </w:r>
    </w:p>
    <w:p w14:paraId="1459B77B" w14:textId="05945392" w:rsidR="00850889" w:rsidRPr="000F34D9" w:rsidRDefault="00BE7629" w:rsidP="00BE7629">
      <w:pPr>
        <w:pStyle w:val="BodyText"/>
        <w:numPr>
          <w:ilvl w:val="6"/>
          <w:numId w:val="11"/>
        </w:numPr>
        <w:tabs>
          <w:tab w:val="clear" w:pos="926"/>
          <w:tab w:val="num" w:pos="567"/>
          <w:tab w:val="num" w:pos="993"/>
        </w:tabs>
        <w:ind w:left="0" w:firstLine="0"/>
        <w:rPr>
          <w:lang w:val="fr-CH"/>
        </w:rPr>
      </w:pPr>
      <w:r w:rsidRPr="00BE7629">
        <w:rPr>
          <w:color w:val="131413"/>
          <w:lang w:val="fr-CH"/>
        </w:rPr>
        <w:t>Chaque</w:t>
      </w:r>
      <w:r w:rsidRPr="00BE7629">
        <w:rPr>
          <w:lang w:val="fr-CH"/>
        </w:rPr>
        <w:t xml:space="preserve"> Membre s'engage à examiner avec compréhension toutes représentations que pourra lui adresser un autre Membre au sujet de mesures affectant le fonctionnement du GATT de 1994 prises sur son territoire et à ménager des possibilités adéquates de consultation sur ces représentations.</w:t>
      </w:r>
    </w:p>
    <w:sectPr w:rsidR="00850889" w:rsidRPr="000F34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7"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6"/>
  </w:num>
  <w:num w:numId="3">
    <w:abstractNumId w:val="8"/>
  </w:num>
  <w:num w:numId="4">
    <w:abstractNumId w:val="4"/>
  </w:num>
  <w:num w:numId="5">
    <w:abstractNumId w:val="3"/>
  </w:num>
  <w:num w:numId="6">
    <w:abstractNumId w:val="2"/>
  </w:num>
  <w:num w:numId="7">
    <w:abstractNumId w:val="1"/>
  </w:num>
  <w:num w:numId="8">
    <w:abstractNumId w:val="0"/>
  </w:num>
  <w:num w:numId="9">
    <w:abstractNumId w:val="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F34D9"/>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75C04"/>
    <w:rsid w:val="004A31FF"/>
    <w:rsid w:val="004C5DC4"/>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BE7629"/>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1"/>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1"/>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1"/>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1"/>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1"/>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1"/>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1"/>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1"/>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1"/>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1"/>
      </w:numPr>
    </w:pPr>
  </w:style>
  <w:style w:type="paragraph" w:styleId="ListBullet">
    <w:name w:val="List Bullet"/>
    <w:basedOn w:val="Normal"/>
    <w:uiPriority w:val="1"/>
    <w:rsid w:val="007F2DB0"/>
    <w:pPr>
      <w:numPr>
        <w:numId w:val="9"/>
      </w:numPr>
      <w:spacing w:after="240"/>
    </w:pPr>
    <w:rPr>
      <w:lang w:val="en-GB"/>
    </w:rPr>
  </w:style>
  <w:style w:type="paragraph" w:styleId="ListBullet2">
    <w:name w:val="List Bullet 2"/>
    <w:basedOn w:val="Normal"/>
    <w:uiPriority w:val="1"/>
    <w:rsid w:val="007F2DB0"/>
    <w:pPr>
      <w:numPr>
        <w:ilvl w:val="1"/>
        <w:numId w:val="9"/>
      </w:numPr>
      <w:tabs>
        <w:tab w:val="left" w:pos="1134"/>
      </w:tabs>
      <w:spacing w:after="240"/>
    </w:pPr>
    <w:rPr>
      <w:lang w:val="en-GB"/>
    </w:rPr>
  </w:style>
  <w:style w:type="paragraph" w:styleId="ListBullet3">
    <w:name w:val="List Bullet 3"/>
    <w:basedOn w:val="Normal"/>
    <w:uiPriority w:val="1"/>
    <w:qFormat/>
    <w:rsid w:val="007F2DB0"/>
    <w:pPr>
      <w:numPr>
        <w:ilvl w:val="2"/>
        <w:numId w:val="9"/>
      </w:numPr>
      <w:tabs>
        <w:tab w:val="left" w:pos="1701"/>
      </w:tabs>
      <w:spacing w:after="240"/>
    </w:pPr>
    <w:rPr>
      <w:lang w:val="en-GB"/>
    </w:rPr>
  </w:style>
  <w:style w:type="paragraph" w:styleId="ListBullet4">
    <w:name w:val="List Bullet 4"/>
    <w:basedOn w:val="Normal"/>
    <w:uiPriority w:val="1"/>
    <w:rsid w:val="007F2DB0"/>
    <w:pPr>
      <w:numPr>
        <w:ilvl w:val="3"/>
        <w:numId w:val="9"/>
      </w:numPr>
      <w:spacing w:after="240"/>
    </w:pPr>
    <w:rPr>
      <w:lang w:val="en-GB"/>
    </w:rPr>
  </w:style>
  <w:style w:type="paragraph" w:styleId="ListBullet5">
    <w:name w:val="List Bullet 5"/>
    <w:basedOn w:val="Normal"/>
    <w:uiPriority w:val="1"/>
    <w:rsid w:val="007F2DB0"/>
    <w:pPr>
      <w:numPr>
        <w:ilvl w:val="4"/>
        <w:numId w:val="9"/>
      </w:numPr>
      <w:spacing w:after="240"/>
    </w:pPr>
    <w:rPr>
      <w:lang w:val="en-GB"/>
    </w:rPr>
  </w:style>
  <w:style w:type="numbering" w:customStyle="1" w:styleId="ListBullets">
    <w:name w:val="ListBullets"/>
    <w:uiPriority w:val="99"/>
    <w:rsid w:val="007F2DB0"/>
    <w:pPr>
      <w:numPr>
        <w:numId w:val="2"/>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3"/>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4"/>
      </w:numPr>
      <w:contextualSpacing/>
    </w:pPr>
    <w:rPr>
      <w:lang w:val="en-GB"/>
    </w:rPr>
  </w:style>
  <w:style w:type="paragraph" w:styleId="ListNumber2">
    <w:name w:val="List Number 2"/>
    <w:basedOn w:val="Normal"/>
    <w:uiPriority w:val="49"/>
    <w:semiHidden/>
    <w:unhideWhenUsed/>
    <w:rsid w:val="001D0F5C"/>
    <w:pPr>
      <w:numPr>
        <w:numId w:val="5"/>
      </w:numPr>
      <w:contextualSpacing/>
    </w:pPr>
    <w:rPr>
      <w:lang w:val="en-GB"/>
    </w:rPr>
  </w:style>
  <w:style w:type="paragraph" w:styleId="ListNumber3">
    <w:name w:val="List Number 3"/>
    <w:basedOn w:val="Normal"/>
    <w:uiPriority w:val="49"/>
    <w:semiHidden/>
    <w:unhideWhenUsed/>
    <w:rsid w:val="001D0F5C"/>
    <w:pPr>
      <w:numPr>
        <w:numId w:val="6"/>
      </w:numPr>
      <w:contextualSpacing/>
    </w:pPr>
    <w:rPr>
      <w:lang w:val="en-GB"/>
    </w:rPr>
  </w:style>
  <w:style w:type="paragraph" w:styleId="ListNumber4">
    <w:name w:val="List Number 4"/>
    <w:basedOn w:val="Normal"/>
    <w:uiPriority w:val="49"/>
    <w:semiHidden/>
    <w:unhideWhenUsed/>
    <w:rsid w:val="001D0F5C"/>
    <w:pPr>
      <w:numPr>
        <w:numId w:val="7"/>
      </w:numPr>
      <w:contextualSpacing/>
    </w:pPr>
    <w:rPr>
      <w:lang w:val="en-GB"/>
    </w:rPr>
  </w:style>
  <w:style w:type="paragraph" w:styleId="ListNumber5">
    <w:name w:val="List Number 5"/>
    <w:basedOn w:val="Normal"/>
    <w:uiPriority w:val="49"/>
    <w:semiHidden/>
    <w:unhideWhenUsed/>
    <w:rsid w:val="001D0F5C"/>
    <w:pPr>
      <w:numPr>
        <w:numId w:val="8"/>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qFormat/>
    <w:rsid w:val="001D0F5C"/>
    <w:rPr>
      <w:i/>
      <w:iCs/>
      <w:color w:val="000000" w:themeColor="text1"/>
      <w:lang w:val="en-GB"/>
    </w:rPr>
  </w:style>
  <w:style w:type="character" w:customStyle="1" w:styleId="QuoteChar">
    <w:name w:val="Quote Char"/>
    <w:basedOn w:val="DefaultParagraphFont"/>
    <w:link w:val="Quote"/>
    <w:uiPriority w:val="59"/>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0"/>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1520</Words>
  <Characters>8668</Characters>
  <Application>Microsoft Office Word</Application>
  <DocSecurity>0</DocSecurity>
  <Lines>72</Lines>
  <Paragraphs>20</Paragraphs>
  <ScaleCrop>false</ScaleCrop>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2022-02-08T22:44:00Z</dcterms:created>
  <dcterms:modified xsi:type="dcterms:W3CDTF">2022-02-08T22:44:00Z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