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83A53" w14:textId="77777777" w:rsidR="00252E64" w:rsidRPr="00E26931" w:rsidRDefault="00252E64" w:rsidP="00A864A1">
      <w:pPr>
        <w:autoSpaceDE w:val="0"/>
        <w:autoSpaceDN w:val="0"/>
        <w:spacing w:after="240"/>
        <w:jc w:val="center"/>
        <w:outlineLvl w:val="1"/>
        <w:rPr>
          <w:rFonts w:eastAsia="Times New Roman" w:cs="Times New Roman"/>
          <w:b/>
          <w:bCs/>
          <w:szCs w:val="18"/>
        </w:rPr>
      </w:pPr>
      <w:bookmarkStart w:id="8" w:name="_Hlk64279156"/>
      <w:r w:rsidRPr="00E26931">
        <w:rPr>
          <w:rFonts w:eastAsia="Times New Roman" w:cs="Times New Roman"/>
          <w:b/>
          <w:bCs/>
          <w:color w:val="131413"/>
          <w:szCs w:val="18"/>
        </w:rPr>
        <w:t>ACUERDO SOBRE OBSTÁCULOS TÉCNICOS</w:t>
      </w:r>
      <w:r w:rsidR="00F51640" w:rsidRPr="00E26931">
        <w:rPr>
          <w:rFonts w:eastAsia="Times New Roman" w:cs="Times New Roman"/>
          <w:b/>
          <w:bCs/>
          <w:color w:val="131413"/>
          <w:szCs w:val="18"/>
        </w:rPr>
        <w:t xml:space="preserve"> </w:t>
      </w:r>
      <w:r w:rsidRPr="00E26931">
        <w:rPr>
          <w:rFonts w:eastAsia="Times New Roman" w:cs="Times New Roman"/>
          <w:b/>
          <w:bCs/>
          <w:color w:val="131413"/>
          <w:szCs w:val="18"/>
        </w:rPr>
        <w:t>AL COMERCIO</w:t>
      </w:r>
    </w:p>
    <w:p w14:paraId="0002479D" w14:textId="77777777" w:rsidR="00252E64" w:rsidRPr="00E26931" w:rsidRDefault="00252E64" w:rsidP="003C678B">
      <w:pPr>
        <w:autoSpaceDE w:val="0"/>
        <w:autoSpaceDN w:val="0"/>
        <w:spacing w:after="220"/>
        <w:jc w:val="left"/>
        <w:rPr>
          <w:rFonts w:eastAsia="Times New Roman" w:cs="Times New Roman"/>
          <w:iCs/>
          <w:szCs w:val="18"/>
        </w:rPr>
      </w:pPr>
      <w:r w:rsidRPr="00E26931">
        <w:rPr>
          <w:rFonts w:eastAsia="Times New Roman" w:cs="Times New Roman"/>
          <w:i/>
          <w:color w:val="131413"/>
          <w:szCs w:val="18"/>
        </w:rPr>
        <w:t>Los Miembros</w:t>
      </w:r>
      <w:r w:rsidRPr="00E26931">
        <w:rPr>
          <w:rFonts w:eastAsia="Times New Roman" w:cs="Times New Roman"/>
          <w:iCs/>
          <w:color w:val="131413"/>
          <w:szCs w:val="18"/>
        </w:rPr>
        <w:t>,</w:t>
      </w:r>
    </w:p>
    <w:p w14:paraId="7282141F"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Habida cuenta</w:t>
      </w:r>
      <w:r w:rsidR="00252E64" w:rsidRPr="00E26931">
        <w:t xml:space="preserve"> </w:t>
      </w:r>
      <w:r w:rsidR="00252E64" w:rsidRPr="00E26931">
        <w:rPr>
          <w:rFonts w:eastAsia="Times New Roman" w:cs="Times New Roman"/>
          <w:color w:val="131413"/>
          <w:szCs w:val="18"/>
        </w:rPr>
        <w:t>de la Ronda Uruguay de Negociaciones Comerciales Multilaterales;</w:t>
      </w:r>
    </w:p>
    <w:p w14:paraId="034ACB0C" w14:textId="77777777" w:rsidR="00252E64" w:rsidRPr="00E26931" w:rsidRDefault="00482615" w:rsidP="003C678B">
      <w:pPr>
        <w:autoSpaceDE w:val="0"/>
        <w:autoSpaceDN w:val="0"/>
        <w:spacing w:after="220"/>
        <w:jc w:val="left"/>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Deseando</w:t>
      </w:r>
      <w:r w:rsidR="00252E64" w:rsidRPr="00E26931">
        <w:t xml:space="preserve"> </w:t>
      </w:r>
      <w:r w:rsidR="00252E64" w:rsidRPr="00E26931">
        <w:rPr>
          <w:rFonts w:eastAsia="Times New Roman" w:cs="Times New Roman"/>
          <w:color w:val="131413"/>
          <w:szCs w:val="18"/>
        </w:rPr>
        <w:t>promover la realización de los objetivos del GATT de 1994;</w:t>
      </w:r>
    </w:p>
    <w:p w14:paraId="675C4E45"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Reconociendo</w:t>
      </w:r>
      <w:r w:rsidR="00252E64" w:rsidRPr="00076F7E">
        <w:t xml:space="preserve"> </w:t>
      </w:r>
      <w:r w:rsidR="00252E64" w:rsidRPr="00E26931">
        <w:rPr>
          <w:rFonts w:eastAsia="Times New Roman" w:cs="Times New Roman"/>
          <w:color w:val="131413"/>
          <w:szCs w:val="18"/>
        </w:rPr>
        <w:t>la importancia de la contribución que las normas internacionales y los sistemas internacionales de evaluación de la conformidad pueden hacer a ese respecto al aumentar la eficacia de la producción y facilitar el comercio internacional;</w:t>
      </w:r>
    </w:p>
    <w:p w14:paraId="5B338EC6"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Deseando</w:t>
      </w:r>
      <w:r w:rsidR="00252E64" w:rsidRPr="00076F7E">
        <w:t xml:space="preserve">, </w:t>
      </w:r>
      <w:r w:rsidR="00252E64" w:rsidRPr="00E26931">
        <w:rPr>
          <w:rFonts w:eastAsia="Times New Roman" w:cs="Times New Roman"/>
          <w:color w:val="131413"/>
          <w:szCs w:val="18"/>
        </w:rPr>
        <w:t>por consiguiente</w:t>
      </w:r>
      <w:r w:rsidR="00252E64" w:rsidRPr="00076F7E">
        <w:t>,</w:t>
      </w:r>
      <w:r w:rsidR="00252E64" w:rsidRPr="00E26931">
        <w:rPr>
          <w:rFonts w:eastAsia="Times New Roman" w:cs="Times New Roman"/>
          <w:color w:val="131413"/>
          <w:szCs w:val="18"/>
        </w:rPr>
        <w:t xml:space="preserve"> alentar la elaboración de normas internacionales y de sistemas internacionales de evaluación de la conformidad;</w:t>
      </w:r>
    </w:p>
    <w:p w14:paraId="63F92D60"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Deseando</w:t>
      </w:r>
      <w:r w:rsidR="00252E64" w:rsidRPr="00076F7E">
        <w:t xml:space="preserve">, </w:t>
      </w:r>
      <w:r w:rsidR="00252E64" w:rsidRPr="00E26931">
        <w:rPr>
          <w:rFonts w:eastAsia="Times New Roman" w:cs="Times New Roman"/>
          <w:color w:val="131413"/>
          <w:szCs w:val="18"/>
        </w:rPr>
        <w:t>sin embargo, asegurar que los reglamentos técnicos y normas, incluidos los requisitos de envase y embalaje, marcado y etiquetado, y los procedimientos de evaluación de la conformidad con los reglamentos técnicos y las normas, no creen obstáculos innecesarios al comercio internacional;</w:t>
      </w:r>
    </w:p>
    <w:p w14:paraId="694EA7D8"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Reconociendo</w:t>
      </w:r>
      <w:r w:rsidR="00252E64" w:rsidRPr="00A864A1">
        <w:t xml:space="preserve"> </w:t>
      </w:r>
      <w:r w:rsidR="00252E64" w:rsidRPr="00E26931">
        <w:rPr>
          <w:rFonts w:eastAsia="Times New Roman" w:cs="Times New Roman"/>
          <w:color w:val="131413"/>
          <w:szCs w:val="18"/>
        </w:rPr>
        <w:t>que no debe impedirse a ningún país que adopte las medidas necesarias para asegurar la calidad de sus exportaciones, o para la protección de la salud y la vida de las personas y de los animales o la preservación de los vegetales, para la protección del medio ambiente, o para la prevención de prácticas que puedan inducir a error, a los niveles que considere apropiados, a condición de que no las aplique en forma tal que constituyan un medio de discriminación arbitrario o injustificado entre los países en que prevalezcan las mismas condiciones, o una restricción encubierta del comercio internacional, y de que en lo demás sean conformes a las disposiciones del presente Acuerdo;</w:t>
      </w:r>
    </w:p>
    <w:p w14:paraId="0989FFDC"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Reconociendo</w:t>
      </w:r>
      <w:r w:rsidR="00252E64" w:rsidRPr="00A864A1">
        <w:t xml:space="preserve"> </w:t>
      </w:r>
      <w:r w:rsidR="00252E64" w:rsidRPr="00E26931">
        <w:rPr>
          <w:rFonts w:eastAsia="Times New Roman" w:cs="Times New Roman"/>
          <w:color w:val="131413"/>
          <w:szCs w:val="18"/>
        </w:rPr>
        <w:t>que no debe impedirse a ningún país que adopte las medidas necesarias para la protección de sus intereses esenciales en materia de seguridad;</w:t>
      </w:r>
    </w:p>
    <w:p w14:paraId="0E294E1A"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Reconociendo</w:t>
      </w:r>
      <w:r w:rsidR="00252E64" w:rsidRPr="00A864A1">
        <w:t xml:space="preserve"> </w:t>
      </w:r>
      <w:r w:rsidR="00252E64" w:rsidRPr="00E26931">
        <w:rPr>
          <w:rFonts w:eastAsia="Times New Roman" w:cs="Times New Roman"/>
          <w:color w:val="131413"/>
          <w:szCs w:val="18"/>
        </w:rPr>
        <w:t>la contribución que la normalización internacional puede hacer a la transferencia de tecnología de los países desarrollados hacia los países en desarrollo;</w:t>
      </w:r>
    </w:p>
    <w:p w14:paraId="61A5F13E" w14:textId="77777777" w:rsidR="00252E64" w:rsidRPr="00E26931" w:rsidRDefault="00482615" w:rsidP="003C678B">
      <w:pPr>
        <w:autoSpaceDE w:val="0"/>
        <w:autoSpaceDN w:val="0"/>
        <w:spacing w:after="220"/>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Reconociendo</w:t>
      </w:r>
      <w:r w:rsidR="00252E64" w:rsidRPr="00A864A1">
        <w:t xml:space="preserve"> </w:t>
      </w:r>
      <w:r w:rsidR="00252E64" w:rsidRPr="00E26931">
        <w:rPr>
          <w:rFonts w:eastAsia="Times New Roman" w:cs="Times New Roman"/>
          <w:color w:val="131413"/>
          <w:szCs w:val="18"/>
        </w:rPr>
        <w:t>que los países en desarrollo pueden encontrar dificultades especiales en la elaboración y la aplicación de reglamentos técnicos y de normas, así como de procedimientos de evaluación de la conformidad con los reglamentos técnicos y las normas, y deseando ayudar a esos países en los esfuerzos que realicen en esta esfera;</w:t>
      </w:r>
    </w:p>
    <w:p w14:paraId="3624C166" w14:textId="361D23C8" w:rsidR="00F51640" w:rsidRPr="00E26931" w:rsidRDefault="00482615" w:rsidP="003C678B">
      <w:pPr>
        <w:autoSpaceDE w:val="0"/>
        <w:autoSpaceDN w:val="0"/>
        <w:spacing w:after="220"/>
        <w:jc w:val="left"/>
        <w:rPr>
          <w:rFonts w:eastAsia="Times New Roman" w:cs="Times New Roman"/>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Convienen</w:t>
      </w:r>
      <w:r w:rsidR="00252E64" w:rsidRPr="00A864A1">
        <w:t xml:space="preserve"> </w:t>
      </w:r>
      <w:r w:rsidR="00252E64" w:rsidRPr="00E26931">
        <w:rPr>
          <w:rFonts w:eastAsia="Times New Roman" w:cs="Times New Roman"/>
          <w:color w:val="131413"/>
          <w:szCs w:val="18"/>
        </w:rPr>
        <w:t>en lo siguiente:</w:t>
      </w:r>
    </w:p>
    <w:p w14:paraId="3B1C32C8" w14:textId="77777777" w:rsidR="00252E64" w:rsidRPr="00E26931" w:rsidRDefault="00252E64" w:rsidP="003C678B">
      <w:pPr>
        <w:autoSpaceDE w:val="0"/>
        <w:autoSpaceDN w:val="0"/>
        <w:spacing w:before="480" w:after="220"/>
        <w:jc w:val="center"/>
        <w:rPr>
          <w:rFonts w:eastAsia="Times New Roman" w:cs="Times New Roman"/>
          <w:szCs w:val="18"/>
        </w:rPr>
      </w:pPr>
      <w:r w:rsidRPr="00E26931">
        <w:rPr>
          <w:rFonts w:eastAsia="Times New Roman" w:cs="Times New Roman"/>
          <w:i/>
          <w:color w:val="131413"/>
          <w:szCs w:val="18"/>
        </w:rPr>
        <w:t>Artículo 1</w:t>
      </w:r>
    </w:p>
    <w:p w14:paraId="43D4FC7F" w14:textId="77777777" w:rsidR="00252E64" w:rsidRPr="00E26931" w:rsidRDefault="00252E64" w:rsidP="003C678B">
      <w:pPr>
        <w:autoSpaceDE w:val="0"/>
        <w:autoSpaceDN w:val="0"/>
        <w:spacing w:after="220"/>
        <w:jc w:val="center"/>
        <w:rPr>
          <w:rFonts w:eastAsia="Times New Roman" w:cs="Times New Roman"/>
          <w:i/>
          <w:szCs w:val="18"/>
        </w:rPr>
      </w:pPr>
      <w:r w:rsidRPr="00E26931">
        <w:rPr>
          <w:rFonts w:eastAsia="Times New Roman" w:cs="Times New Roman"/>
          <w:i/>
          <w:color w:val="131413"/>
          <w:szCs w:val="18"/>
        </w:rPr>
        <w:t>Disposiciones generales</w:t>
      </w:r>
    </w:p>
    <w:p w14:paraId="5CE765CF" w14:textId="77777777" w:rsidR="00252E64" w:rsidRPr="00E26931" w:rsidRDefault="00252E64" w:rsidP="003C678B">
      <w:pPr>
        <w:numPr>
          <w:ilvl w:val="1"/>
          <w:numId w:val="50"/>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Los términos generales relativos a normalización y procedimientos de evaluación de la conformidad tendrán generalmente el sentido que les dan las definiciones adoptadas dentro del sistema de las Naciones Unidas y por las instituciones internacionales con actividades de normalización, teniendo en cuenta su contexto y el objeto y fin del presente Acuerdo.</w:t>
      </w:r>
    </w:p>
    <w:p w14:paraId="34398F97" w14:textId="77777777" w:rsidR="00252E64" w:rsidRPr="00E26931" w:rsidRDefault="00252E64" w:rsidP="003C678B">
      <w:pPr>
        <w:numPr>
          <w:ilvl w:val="1"/>
          <w:numId w:val="50"/>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Sin embargo, a los efectos del presente Acuerdo el sentido de los términos definidos en el Anexo</w:t>
      </w:r>
      <w:r w:rsidR="00DC1688" w:rsidRPr="00E26931">
        <w:rPr>
          <w:rFonts w:eastAsia="Times New Roman" w:cs="Times New Roman"/>
          <w:color w:val="131413"/>
          <w:szCs w:val="18"/>
        </w:rPr>
        <w:t> </w:t>
      </w:r>
      <w:r w:rsidRPr="00E26931">
        <w:rPr>
          <w:rFonts w:eastAsia="Times New Roman" w:cs="Times New Roman"/>
          <w:color w:val="131413"/>
          <w:szCs w:val="18"/>
        </w:rPr>
        <w:t>1 será el que allí se precisa.</w:t>
      </w:r>
    </w:p>
    <w:p w14:paraId="1F466215" w14:textId="77777777" w:rsidR="00252E64" w:rsidRPr="00E26931" w:rsidRDefault="00252E64" w:rsidP="003C678B">
      <w:pPr>
        <w:numPr>
          <w:ilvl w:val="1"/>
          <w:numId w:val="50"/>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Todos los productos, comprendidos los industriales y los agropecuarios, quedarán sometidos a las disposiciones del presente Acuerdo.</w:t>
      </w:r>
    </w:p>
    <w:p w14:paraId="6A2D8B61" w14:textId="77777777" w:rsidR="00252E64" w:rsidRPr="00E26931" w:rsidRDefault="00252E64" w:rsidP="003C678B">
      <w:pPr>
        <w:numPr>
          <w:ilvl w:val="1"/>
          <w:numId w:val="50"/>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Las especificaciones de compra establecidas por instituciones gubernamentales para las necesidades de producción o de consumo de instituciones gubernamentales no estarán sometidas a las disposiciones del presente Acuerdo, sino que se regirán por el Acuerdo sobre Contratación Pública, en función del alcance de éste.</w:t>
      </w:r>
    </w:p>
    <w:p w14:paraId="7048FA94" w14:textId="77777777" w:rsidR="00252E64" w:rsidRPr="00E26931" w:rsidRDefault="00252E64" w:rsidP="00A864A1">
      <w:pPr>
        <w:numPr>
          <w:ilvl w:val="1"/>
          <w:numId w:val="5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Las disposiciones del presente Acuerdo no son aplicables a las medidas sanitarias y fitosanitarias definidas en el Anexo A del Acuerdo sobre la Aplicación de Medidas Sanitarias y Fitosanitarias.</w:t>
      </w:r>
    </w:p>
    <w:p w14:paraId="3AC1E0A6" w14:textId="77777777" w:rsidR="00252E64" w:rsidRPr="00E26931" w:rsidRDefault="00252E64" w:rsidP="00A864A1">
      <w:pPr>
        <w:numPr>
          <w:ilvl w:val="1"/>
          <w:numId w:val="5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Se considerará que todas las referencias hechas en el presente Acuerdo a los reglamentos técnicos, a las normas y a los procedimientos de evaluación de la conformidad se aplican igualmente a cualquier enmienda a los mismos, así como a cualquier adición a sus reglas o a la lista de los productos a que se refieran, con excepción de las enmiendas y adiciones de poca importancia.</w:t>
      </w:r>
    </w:p>
    <w:p w14:paraId="3AD414E6" w14:textId="77777777" w:rsidR="00252E64" w:rsidRPr="00E26931" w:rsidRDefault="00252E64" w:rsidP="00A864A1">
      <w:pPr>
        <w:autoSpaceDE w:val="0"/>
        <w:autoSpaceDN w:val="0"/>
        <w:spacing w:before="480" w:after="240"/>
        <w:jc w:val="center"/>
        <w:rPr>
          <w:rFonts w:eastAsia="Times New Roman" w:cs="Times New Roman"/>
          <w:szCs w:val="18"/>
        </w:rPr>
      </w:pPr>
      <w:r w:rsidRPr="00E26931">
        <w:rPr>
          <w:rFonts w:eastAsia="Times New Roman" w:cs="Times New Roman"/>
          <w:color w:val="131413"/>
          <w:szCs w:val="18"/>
        </w:rPr>
        <w:t>REGLAMENTOS TÉCNICOS Y NORMAS</w:t>
      </w:r>
    </w:p>
    <w:p w14:paraId="7532982A" w14:textId="77777777" w:rsidR="00252E64" w:rsidRPr="00E26931" w:rsidRDefault="00252E64" w:rsidP="00A864A1">
      <w:pPr>
        <w:autoSpaceDE w:val="0"/>
        <w:autoSpaceDN w:val="0"/>
        <w:spacing w:after="240"/>
        <w:jc w:val="center"/>
        <w:rPr>
          <w:rFonts w:eastAsia="Times New Roman" w:cs="Times New Roman"/>
          <w:i/>
          <w:szCs w:val="18"/>
        </w:rPr>
      </w:pPr>
      <w:r w:rsidRPr="00E26931">
        <w:rPr>
          <w:rFonts w:eastAsia="Times New Roman" w:cs="Times New Roman"/>
          <w:i/>
          <w:color w:val="131413"/>
          <w:szCs w:val="18"/>
        </w:rPr>
        <w:t>Artículo 2</w:t>
      </w:r>
    </w:p>
    <w:p w14:paraId="31047094" w14:textId="7EF79F95" w:rsidR="00252E64" w:rsidRPr="00E26931" w:rsidRDefault="00252E64" w:rsidP="00A864A1">
      <w:pPr>
        <w:autoSpaceDE w:val="0"/>
        <w:autoSpaceDN w:val="0"/>
        <w:spacing w:after="240"/>
        <w:jc w:val="center"/>
        <w:rPr>
          <w:rFonts w:eastAsia="Times New Roman" w:cs="Times New Roman"/>
          <w:i/>
          <w:szCs w:val="18"/>
        </w:rPr>
      </w:pPr>
      <w:r w:rsidRPr="00E26931">
        <w:rPr>
          <w:rFonts w:eastAsia="Times New Roman" w:cs="Times New Roman"/>
          <w:i/>
          <w:color w:val="131413"/>
          <w:szCs w:val="18"/>
        </w:rPr>
        <w:t xml:space="preserve">Elaboración, adopción y aplicación de reglamentos técnicos </w:t>
      </w:r>
      <w:r w:rsidR="00A864A1">
        <w:rPr>
          <w:rFonts w:eastAsia="Times New Roman" w:cs="Times New Roman"/>
          <w:i/>
          <w:color w:val="131413"/>
          <w:szCs w:val="18"/>
        </w:rPr>
        <w:br/>
      </w:r>
      <w:r w:rsidRPr="00E26931">
        <w:rPr>
          <w:rFonts w:eastAsia="Times New Roman" w:cs="Times New Roman"/>
          <w:i/>
          <w:color w:val="131413"/>
          <w:szCs w:val="18"/>
        </w:rPr>
        <w:t>po</w:t>
      </w:r>
      <w:r w:rsidR="0093070D" w:rsidRPr="00E26931">
        <w:rPr>
          <w:rFonts w:eastAsia="Times New Roman" w:cs="Times New Roman"/>
          <w:i/>
          <w:color w:val="131413"/>
          <w:szCs w:val="18"/>
        </w:rPr>
        <w:t>r</w:t>
      </w:r>
      <w:r w:rsidR="00A864A1">
        <w:rPr>
          <w:rFonts w:eastAsia="Times New Roman" w:cs="Times New Roman"/>
          <w:i/>
          <w:color w:val="131413"/>
          <w:szCs w:val="18"/>
        </w:rPr>
        <w:t xml:space="preserve"> </w:t>
      </w:r>
      <w:r w:rsidRPr="00E26931">
        <w:rPr>
          <w:rFonts w:eastAsia="Times New Roman" w:cs="Times New Roman"/>
          <w:i/>
          <w:color w:val="131413"/>
          <w:szCs w:val="18"/>
        </w:rPr>
        <w:t>instituciones del gobierno central</w:t>
      </w:r>
    </w:p>
    <w:p w14:paraId="125FB835" w14:textId="77777777" w:rsidR="00252E64" w:rsidRPr="00E26931" w:rsidRDefault="00482615" w:rsidP="00A864A1">
      <w:pPr>
        <w:autoSpaceDE w:val="0"/>
        <w:autoSpaceDN w:val="0"/>
        <w:spacing w:after="240"/>
        <w:rPr>
          <w:rFonts w:eastAsia="Times New Roman" w:cs="Times New Roman"/>
          <w:szCs w:val="18"/>
        </w:rPr>
      </w:pPr>
      <w:r w:rsidRPr="00E26931">
        <w:rPr>
          <w:rFonts w:eastAsia="Times New Roman" w:cs="Times New Roman"/>
          <w:color w:val="131413"/>
          <w:szCs w:val="18"/>
        </w:rPr>
        <w:tab/>
      </w:r>
      <w:r w:rsidR="00252E64" w:rsidRPr="00E26931">
        <w:rPr>
          <w:rFonts w:eastAsia="Times New Roman" w:cs="Times New Roman"/>
          <w:color w:val="131413"/>
          <w:szCs w:val="18"/>
        </w:rPr>
        <w:t>Por lo que se refiere a las instituciones de su gobierno central:</w:t>
      </w:r>
    </w:p>
    <w:p w14:paraId="7D2A85F1"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con respecto a los reglamentos técnicos, se dé a los productos importados del territorio de cualquiera de los Miembros un trato no menos favorable que el otorgado a productos similares de origen nacional y a productos similares originarios de cualquier otro país.</w:t>
      </w:r>
    </w:p>
    <w:p w14:paraId="636173B2"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no se elaboren, adopten o apliquen reglamentos técnicos que tengan por objeto o efecto crear obstáculos innecesarios al comercio internacional. A tal fin, los reglamentos técnicos no restringirán el comercio más de lo necesario para alcanzar un objetivo legítimo, teniendo en cuenta los riesgos que crearía no alcanzarlo. Tales objetivos legítimos son, entre otros: los imperativos de la seguridad nacional; la prevención de prácticas que puedan inducir a error; la protección de la salud o seguridad humanas, de la vida o la salud animal o vegetal, o del medio ambiente. Al evaluar esos riesgos, los</w:t>
      </w:r>
      <w:r w:rsidR="00482615" w:rsidRPr="00E26931">
        <w:rPr>
          <w:rFonts w:eastAsia="Times New Roman" w:cs="Times New Roman"/>
          <w:szCs w:val="18"/>
        </w:rPr>
        <w:t xml:space="preserve"> </w:t>
      </w:r>
      <w:r w:rsidRPr="00E26931">
        <w:rPr>
          <w:rFonts w:eastAsia="Times New Roman" w:cs="Times New Roman"/>
          <w:color w:val="131413"/>
          <w:szCs w:val="18"/>
        </w:rPr>
        <w:t>elementos que es pertinente tomar en consideración son, entre otros: la información disponible científica y técnica, la tecnología de elaboración conexa o los usos finales a que se destinen los productos.</w:t>
      </w:r>
    </w:p>
    <w:p w14:paraId="2CA06B53"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reglamentos técnicos no se mantendrán si las circunstancias u objetivos que dieron lugar a su adopción ya no existen o si las circunstancias u objetivos modificados pueden atenderse de una manera menos restrictiva del comercio.</w:t>
      </w:r>
    </w:p>
    <w:p w14:paraId="21422C11"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Cuando sean necesarios reglamentos técnicos y existan normas internacionales pertinentes o sea inminente su formulación definitiva, los Miembros utilizarán esas normas internacionales, o sus elementos pertinentes, como base de sus reglamentos técnicos, salvo en el caso de que esas normas internacionales o esos elementos pertinentes sean un medio ineficaz o inapropiado para el logro de los objetivos legítimos perseguidos, por ejemplo a causa de factores climáticos o geográficos fundamentales o problemas tecnológicos fundamentales.</w:t>
      </w:r>
    </w:p>
    <w:p w14:paraId="02A144A6"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Todo Miembro que elabore, adopte o aplique un reglamento técnico que pueda tener un efecto significativo en el comercio de otros Miembros explicará, a petición de otro Miembro, la justificación del mismo a tenor de las disposiciones de los párrafos 2 a 4 del presente artículo. Siempre que un reglamento técnico se elabore, adopte o aplique para alcanzar uno de los objetivos legítimos mencionados expresamente en el párrafo 2, y esté en conformidad con las normas internacionales pertinentes, se presumirá, a reserva de impugnación, que no crea un obstáculo innecesario al comercio internacional.</w:t>
      </w:r>
    </w:p>
    <w:p w14:paraId="7FD337D1"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Con el fin de armonizar sus reglamentos técnicos en el mayor grado posible, los Miembros participarán plenamente, dentro de los límites de sus recursos, en la elaboración, por las instituciones internacionales competentes con actividades de normalización, de normas internacionales referentes a los productos para los que hayan adoptado, o prevean adoptar, reglamentos técnicos.</w:t>
      </w:r>
    </w:p>
    <w:p w14:paraId="651150E0" w14:textId="77777777" w:rsidR="00252E64" w:rsidRPr="00E26931" w:rsidRDefault="00252E64" w:rsidP="003C678B">
      <w:pPr>
        <w:keepLines/>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Los Miembros considerarán favorablemente la posibilidad de aceptar como equivalentes reglamentos técnicos de otros Miembros aun cuando difieran de los suyos, siempre que tengan la convicción de que esos reglamentos cumplen adecuadamente los objetivos de sus propios reglamentos.</w:t>
      </w:r>
    </w:p>
    <w:p w14:paraId="64588D32"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todos los casos en que sea procedente, los reglamentos técnicos basados en prescripciones para los productos serán definidos por los Miembros en función de las propiedades de uso y empleo de los productos más bien que en función de su diseño o de sus características descriptivas.</w:t>
      </w:r>
    </w:p>
    <w:p w14:paraId="342D9F9D"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todos los casos en que no exista una norma internacional pertinente o en que el contenido técnico de un reglamento técnico en proyecto no esté en conformidad con el contenido técnico de las normas internacionales pertinentes, y siempre que dicho reglamento técnico pueda tener un efecto significativo en el comercio de otros Miembros, los Miembros:</w:t>
      </w:r>
    </w:p>
    <w:p w14:paraId="55512BD1" w14:textId="7FEED9E1"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anunciarán mediante un aviso en una publicación, en una etapa convenientemente temprana, de modo que pueda llegar a conocimiento de las partes interesadas de los demás Miembros, que proyectan introducir un determinado reglamento técnico;</w:t>
      </w:r>
    </w:p>
    <w:p w14:paraId="260ACC57" w14:textId="77777777"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notificarán a los demás Miembros, por conducto de la Secretaría, cuáles serán los productos abarcados por el reglamento técnico en proyecto, indicando brevemente su objetivo y razón de ser. Tales notificaciones se harán en una etapa convenientemente temprana, cuando puedan aún introducirse modificaciones y tenerse en cuenta las observaciones que se formulen;</w:t>
      </w:r>
    </w:p>
    <w:p w14:paraId="074DF02A" w14:textId="77777777"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previa solicitud, facilitarán a los demás Miembros detalles sobre el reglamento técnico en proyecto o el texto del mismo y señalarán, siempre que sea posible, las partes que en sustancia difieran de las normas internacionales pertinentes;</w:t>
      </w:r>
    </w:p>
    <w:p w14:paraId="54032478" w14:textId="77777777"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sin discriminación alguna, preverán un plazo prudencial para que los demás Miembros puedan formular observaciones por escrito, mantendrán conversaciones sobre esas observaciones si así se les solicita, y tomarán en cuenta dichas observaciones escritas y los resultados de dichas conversaciones.</w:t>
      </w:r>
    </w:p>
    <w:p w14:paraId="179AE5B0"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Sin perjuicio de lo dispuesto en la introducción del párrafo 9, si a algún Miembro se le planteasen o amenazaran planteársele problemas urgentes de seguridad, sanidad, protección del medio ambiente o seguridad nacional, dicho Miembro podrá omitir los trámites enumerados en el párrafo 9 según considere necesario, a condición de que al adoptar el reglamento técnico cumpla con lo siguiente:</w:t>
      </w:r>
    </w:p>
    <w:p w14:paraId="2C6A5F77" w14:textId="77777777"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notificar inmediatamente a los demás Miembros, por conducto de la Secretaría, el reglamento técnico y los productos de que se trate, indicando brevemente el objetivo y la razón de ser del reglamento técnico, así como la naturaleza de los problemas urgentes;</w:t>
      </w:r>
    </w:p>
    <w:p w14:paraId="07DD197F" w14:textId="77777777"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previa solicitud, facilitar a los demás Miembros el texto del reglamento técnico;</w:t>
      </w:r>
    </w:p>
    <w:p w14:paraId="4827D8A1" w14:textId="77777777" w:rsidR="00252E64" w:rsidRPr="00E26931" w:rsidRDefault="00252E64" w:rsidP="00A864A1">
      <w:pPr>
        <w:numPr>
          <w:ilvl w:val="2"/>
          <w:numId w:val="49"/>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dar sin discriminación a los demás Miembros la posibilidad de formular observaciones por escrito, mantener conversaciones sobre ellas si así se le solicita, y tomar en cuenta estas observaciones escritas y los resultados de dichas conversaciones.</w:t>
      </w:r>
    </w:p>
    <w:p w14:paraId="3BAE7ADF"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todos los reglamentos técnicos que hayan sido adoptados se publiquen prontamente o se pongan de otra manera a disposición de las partes interesadas de los demás Miembros para que éstas puedan conocer su contenido.</w:t>
      </w:r>
    </w:p>
    <w:p w14:paraId="2FAC8372" w14:textId="77777777" w:rsidR="00252E64" w:rsidRPr="00E26931" w:rsidRDefault="00252E64" w:rsidP="00A864A1">
      <w:pPr>
        <w:numPr>
          <w:ilvl w:val="1"/>
          <w:numId w:val="4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Salvo en las circunstancias urgentes mencionadas en el párrafo 10, los Miembros preverán un plazo prudencial entre la publicación de los reglamentos técnicos y su entrada en vigor, con el fin de dar tiempo a los productores de los Miembros exportadores, y en especial de los países en desarrollo Miembros, para adaptar sus productos o sus métodos de producción a las prescripciones del Miembro importador.</w:t>
      </w:r>
    </w:p>
    <w:p w14:paraId="083B7C5E" w14:textId="77777777" w:rsidR="00252E64" w:rsidRPr="00E26931" w:rsidRDefault="00252E64" w:rsidP="00F37B03">
      <w:pPr>
        <w:keepNext/>
        <w:autoSpaceDE w:val="0"/>
        <w:autoSpaceDN w:val="0"/>
        <w:spacing w:before="480" w:after="240"/>
        <w:jc w:val="center"/>
        <w:rPr>
          <w:rFonts w:eastAsia="Times New Roman" w:cs="Times New Roman"/>
          <w:i/>
          <w:szCs w:val="18"/>
        </w:rPr>
      </w:pPr>
      <w:r w:rsidRPr="00E26931">
        <w:rPr>
          <w:rFonts w:eastAsia="Times New Roman" w:cs="Times New Roman"/>
          <w:i/>
          <w:color w:val="131413"/>
          <w:szCs w:val="18"/>
        </w:rPr>
        <w:lastRenderedPageBreak/>
        <w:t>Artículo 3</w:t>
      </w:r>
    </w:p>
    <w:p w14:paraId="6D1ECE5B" w14:textId="77777777" w:rsidR="00252E64" w:rsidRPr="00E26931" w:rsidRDefault="00252E64" w:rsidP="00F37B03">
      <w:pPr>
        <w:keepNext/>
        <w:autoSpaceDE w:val="0"/>
        <w:autoSpaceDN w:val="0"/>
        <w:spacing w:after="240"/>
        <w:jc w:val="center"/>
        <w:rPr>
          <w:rFonts w:eastAsia="Times New Roman" w:cs="Times New Roman"/>
          <w:i/>
          <w:szCs w:val="18"/>
        </w:rPr>
      </w:pPr>
      <w:r w:rsidRPr="00E26931">
        <w:rPr>
          <w:rFonts w:eastAsia="Times New Roman" w:cs="Times New Roman"/>
          <w:i/>
          <w:color w:val="131413"/>
          <w:szCs w:val="18"/>
        </w:rPr>
        <w:t xml:space="preserve">Elaboración, adopción y aplicación de reglamentos técnicos por instituciones </w:t>
      </w:r>
      <w:r w:rsidR="0093070D" w:rsidRPr="00E26931">
        <w:rPr>
          <w:rFonts w:eastAsia="Times New Roman" w:cs="Times New Roman"/>
          <w:i/>
          <w:color w:val="131413"/>
          <w:szCs w:val="18"/>
        </w:rPr>
        <w:br/>
      </w:r>
      <w:r w:rsidRPr="00E26931">
        <w:rPr>
          <w:rFonts w:eastAsia="Times New Roman" w:cs="Times New Roman"/>
          <w:i/>
          <w:color w:val="131413"/>
          <w:szCs w:val="18"/>
        </w:rPr>
        <w:t>públicas locales y por instituciones no gubernamentales</w:t>
      </w:r>
    </w:p>
    <w:p w14:paraId="51DF5957" w14:textId="77777777" w:rsidR="00252E64" w:rsidRPr="00E26931" w:rsidRDefault="007A5AC6" w:rsidP="00A864A1">
      <w:pPr>
        <w:autoSpaceDE w:val="0"/>
        <w:autoSpaceDN w:val="0"/>
        <w:spacing w:after="240"/>
        <w:rPr>
          <w:rFonts w:eastAsia="Times New Roman" w:cs="Times New Roman"/>
          <w:szCs w:val="18"/>
        </w:rPr>
      </w:pPr>
      <w:r w:rsidRPr="00E26931">
        <w:rPr>
          <w:rFonts w:eastAsia="Times New Roman" w:cs="Times New Roman"/>
          <w:color w:val="131413"/>
          <w:szCs w:val="18"/>
        </w:rPr>
        <w:tab/>
      </w:r>
      <w:r w:rsidR="00252E64" w:rsidRPr="00E26931">
        <w:rPr>
          <w:rFonts w:eastAsia="Times New Roman" w:cs="Times New Roman"/>
          <w:color w:val="131413"/>
          <w:szCs w:val="18"/>
        </w:rPr>
        <w:t>En lo que se refiere a sus instituciones públicas locales y a las instituciones no gubernamentales existentes en su territorio:</w:t>
      </w:r>
    </w:p>
    <w:p w14:paraId="0073482F" w14:textId="77777777" w:rsidR="00252E64" w:rsidRPr="00E26931" w:rsidRDefault="00252E64" w:rsidP="00A864A1">
      <w:pPr>
        <w:numPr>
          <w:ilvl w:val="1"/>
          <w:numId w:val="4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lograr que dichas instituciones cumplan las disposiciones del artículo 2, a excepción de la obligación de notificar estipulada en los apartados 9.2 y 10.1 del artículo 2.</w:t>
      </w:r>
    </w:p>
    <w:p w14:paraId="61A4E3ED" w14:textId="77777777" w:rsidR="00252E64" w:rsidRPr="00E26931" w:rsidRDefault="00252E64" w:rsidP="00A864A1">
      <w:pPr>
        <w:numPr>
          <w:ilvl w:val="1"/>
          <w:numId w:val="4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los reglamentos técnicos de los gobiernos locales del nivel inmediatamente inferior al del gobierno central de</w:t>
      </w:r>
      <w:r w:rsidR="002125B6" w:rsidRPr="00E26931">
        <w:rPr>
          <w:rFonts w:eastAsia="Times New Roman" w:cs="Times New Roman"/>
          <w:color w:val="131413"/>
          <w:szCs w:val="18"/>
        </w:rPr>
        <w:t xml:space="preserve"> </w:t>
      </w:r>
      <w:r w:rsidRPr="00E26931">
        <w:rPr>
          <w:rFonts w:eastAsia="Times New Roman" w:cs="Times New Roman"/>
          <w:color w:val="131413"/>
          <w:szCs w:val="18"/>
        </w:rPr>
        <w:t>los Miembros se notifiquen de conformidad con las disposiciones de los apartados 9.2 y 10.1 del artículo 2, quedando entendido que no se exigirá notificar los reglamentos técnicos cuyo contenido técnico sea en sustancia el mismo que el de los reglamentos técnicos ya notificados de instituciones del gobierno central del Miembro interesado.</w:t>
      </w:r>
    </w:p>
    <w:p w14:paraId="0DC8E56D" w14:textId="77777777" w:rsidR="00252E64" w:rsidRPr="00E26931" w:rsidRDefault="00252E64" w:rsidP="00A864A1">
      <w:pPr>
        <w:numPr>
          <w:ilvl w:val="1"/>
          <w:numId w:val="4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podrán exigir que los contactos con otros Miembros, incluidas las notificaciones, el suministro de información, la formulación de observaciones y la celebración de discusiones objeto de los párrafos 9 y 10 del artículo 2, se realicen por conducto del gobierno central.</w:t>
      </w:r>
    </w:p>
    <w:p w14:paraId="6F163BDE" w14:textId="77777777" w:rsidR="00252E64" w:rsidRPr="00E26931" w:rsidRDefault="00252E64" w:rsidP="00A864A1">
      <w:pPr>
        <w:numPr>
          <w:ilvl w:val="1"/>
          <w:numId w:val="4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no adoptarán medidas que obliguen o alienten a las instituciones públicas locales o a las instituciones no gubernamentales existentes en su territorio a actuar de manera incompatible con las disposiciones del artículo 2.</w:t>
      </w:r>
    </w:p>
    <w:p w14:paraId="4303B978" w14:textId="77777777" w:rsidR="00252E64" w:rsidRPr="00E26931" w:rsidRDefault="00252E64" w:rsidP="00A864A1">
      <w:pPr>
        <w:numPr>
          <w:ilvl w:val="1"/>
          <w:numId w:val="4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virtud del presente Acuerdo, los Miembros son plenamente responsables de la observancia de todas las disposiciones del artículo 2. Los Miembros elaborarán y aplicarán medidas y mecanismos positivos que favorezcan la observancia de las disposiciones del artículo 2 por las instituciones que no sean del gobierno central.</w:t>
      </w:r>
    </w:p>
    <w:p w14:paraId="00EF1A52" w14:textId="77777777" w:rsidR="00252E64" w:rsidRPr="00E26931" w:rsidRDefault="00252E64" w:rsidP="00EF19A9">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4</w:t>
      </w:r>
    </w:p>
    <w:p w14:paraId="6FD17A94" w14:textId="77777777" w:rsidR="00252E64" w:rsidRPr="00E26931" w:rsidRDefault="00252E64" w:rsidP="00A864A1">
      <w:pPr>
        <w:autoSpaceDE w:val="0"/>
        <w:autoSpaceDN w:val="0"/>
        <w:spacing w:after="240"/>
        <w:jc w:val="center"/>
        <w:rPr>
          <w:rFonts w:eastAsia="Times New Roman" w:cs="Times New Roman"/>
          <w:i/>
          <w:szCs w:val="18"/>
        </w:rPr>
      </w:pPr>
      <w:r w:rsidRPr="00E26931">
        <w:rPr>
          <w:rFonts w:eastAsia="Times New Roman" w:cs="Times New Roman"/>
          <w:i/>
          <w:color w:val="131413"/>
          <w:szCs w:val="18"/>
        </w:rPr>
        <w:t>Elaboración, adopción y aplicación de normas</w:t>
      </w:r>
    </w:p>
    <w:p w14:paraId="525861D9" w14:textId="77777777" w:rsidR="00252E64" w:rsidRPr="00E26931" w:rsidRDefault="00252E64" w:rsidP="00A864A1">
      <w:pPr>
        <w:numPr>
          <w:ilvl w:val="1"/>
          <w:numId w:val="47"/>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las instituciones de su gobierno central con actividades de normalización acepten y cumplan el Código de Buena Conducta para la Elaboración, Adopción y Aplicación de Normas (denominado en el presente Acuerdo "Código de Buena Conducta") que figura en el Anexo 3 del presente Acuerdo. También tomarán las medidas razonables que estén a su alcance para lograr que las instituciones públicas locales y las instituciones no gubernamentales con actividades de normalización existentes en su territorio, así como las instituciones regionales con actividades de normalización de las que sean miembros ellos mismos o una o varias instituciones de su territorio, acepten y cumplan el Código de Buena Conducta. Además, los Miembros no adoptarán medidas que tengan por efecto obligar o alentar directa o indirectamente a dichas instituciones con actividades de normalización a actuar de manera incompatible</w:t>
      </w:r>
      <w:r w:rsidR="002B5154" w:rsidRPr="00E26931">
        <w:rPr>
          <w:rFonts w:eastAsia="Times New Roman" w:cs="Times New Roman"/>
          <w:color w:val="131413"/>
          <w:szCs w:val="18"/>
        </w:rPr>
        <w:t xml:space="preserve"> </w:t>
      </w:r>
      <w:r w:rsidRPr="00E26931">
        <w:rPr>
          <w:rFonts w:eastAsia="Times New Roman" w:cs="Times New Roman"/>
          <w:color w:val="131413"/>
          <w:szCs w:val="18"/>
        </w:rPr>
        <w:t>con el Código de Buena Conducta. Las obligaciones de los Miembros con respecto al cumplimiento de las disposiciones del Código de Buena Conducta por las instituciones con actividades de normalización se aplicarán con independencia de que una institución con actividades de normalización haya aceptado o no el Código de Buena Conducta.</w:t>
      </w:r>
    </w:p>
    <w:p w14:paraId="23AE9E5F" w14:textId="77777777" w:rsidR="00252E64" w:rsidRPr="00E26931" w:rsidRDefault="00252E64" w:rsidP="00A864A1">
      <w:pPr>
        <w:numPr>
          <w:ilvl w:val="1"/>
          <w:numId w:val="47"/>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reconocerán que las instituciones con actividades de normalización que hayan aceptado y cumplan el Código de Buena Conducta cumplen los principios del presente Acuerdo.</w:t>
      </w:r>
    </w:p>
    <w:p w14:paraId="7CFE627F" w14:textId="77777777" w:rsidR="00252E64" w:rsidRPr="00E26931" w:rsidRDefault="00252E64" w:rsidP="000C08C1">
      <w:pPr>
        <w:keepNext/>
        <w:autoSpaceDE w:val="0"/>
        <w:autoSpaceDN w:val="0"/>
        <w:spacing w:before="480" w:after="240"/>
        <w:jc w:val="center"/>
        <w:rPr>
          <w:rFonts w:eastAsia="Times New Roman" w:cs="Times New Roman"/>
          <w:szCs w:val="18"/>
        </w:rPr>
      </w:pPr>
      <w:r w:rsidRPr="00E26931">
        <w:rPr>
          <w:rFonts w:eastAsia="Times New Roman" w:cs="Times New Roman"/>
          <w:color w:val="131413"/>
          <w:szCs w:val="18"/>
        </w:rPr>
        <w:lastRenderedPageBreak/>
        <w:t>CONFORMIDAD CON LOS REGLAMENTOS TÉCNICOS Y LAS NORMAS</w:t>
      </w:r>
    </w:p>
    <w:p w14:paraId="4615A6FC" w14:textId="77777777" w:rsidR="00252E64" w:rsidRPr="00E26931" w:rsidRDefault="00252E64" w:rsidP="00A864A1">
      <w:pPr>
        <w:keepNext/>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Artículo 5</w:t>
      </w:r>
    </w:p>
    <w:p w14:paraId="47B3ED55" w14:textId="77777777" w:rsidR="00252E64" w:rsidRPr="00E26931" w:rsidRDefault="00252E64" w:rsidP="00A864A1">
      <w:pPr>
        <w:keepNext/>
        <w:autoSpaceDE w:val="0"/>
        <w:autoSpaceDN w:val="0"/>
        <w:spacing w:after="240"/>
        <w:jc w:val="center"/>
        <w:rPr>
          <w:rFonts w:eastAsia="Times New Roman" w:cs="Times New Roman"/>
          <w:i/>
          <w:szCs w:val="18"/>
        </w:rPr>
      </w:pPr>
      <w:r w:rsidRPr="00E26931">
        <w:rPr>
          <w:rFonts w:eastAsia="Times New Roman" w:cs="Times New Roman"/>
          <w:i/>
          <w:color w:val="131413"/>
          <w:szCs w:val="18"/>
        </w:rPr>
        <w:t>Procedimientos de evaluación de la conformidad aplicados por</w:t>
      </w:r>
      <w:r w:rsidR="00481324" w:rsidRPr="00E26931">
        <w:rPr>
          <w:rFonts w:eastAsia="Times New Roman" w:cs="Times New Roman"/>
          <w:i/>
          <w:color w:val="131413"/>
          <w:szCs w:val="18"/>
        </w:rPr>
        <w:br/>
      </w:r>
      <w:r w:rsidRPr="00E26931">
        <w:rPr>
          <w:rFonts w:eastAsia="Times New Roman" w:cs="Times New Roman"/>
          <w:i/>
          <w:color w:val="131413"/>
          <w:szCs w:val="18"/>
        </w:rPr>
        <w:t>las instituciones del gobierno central</w:t>
      </w:r>
    </w:p>
    <w:p w14:paraId="5CA4C346"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los casos en que se exija una declaración positiva de conformidad con los reglamentos técnicos o las normas, los Miembros se asegurarán de que las instituciones de su gobierno central apliquen a los productos originarios de los territorios de otros Miembros las disposiciones siguientes:</w:t>
      </w:r>
    </w:p>
    <w:p w14:paraId="37E435C3" w14:textId="77777777" w:rsidR="00252E64" w:rsidRPr="00E26931" w:rsidRDefault="00252E64" w:rsidP="005F72F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los procedimientos de evaluación de la conformidad se elaborarán, adoptarán y aplicarán de manera que se conceda acceso a los proveedores de productos similares originarios de los territorios de otros Miembros en condiciones no menos favorables que las otorgadas a los proveedores de productos similares de origen nacional u originarios de cualquier otro país, en una situación comparable; el acceso implicará el derecho de los proveedores a una evaluación de la conformidad según las reglas del procedimiento, incluida, cuando este procedimiento la prevea, la posibilidad de que las actividades de evaluación de la conformidad se realicen en el emplazamiento de las instalaciones y de recibir la marca del sistema;</w:t>
      </w:r>
    </w:p>
    <w:p w14:paraId="48EF51CE" w14:textId="77777777" w:rsidR="00252E64" w:rsidRPr="00E26931" w:rsidRDefault="00252E64" w:rsidP="005F72F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no se elaborarán, adoptarán o aplicarán procedimientos de evaluación de la conformidad que tengan por objeto o efecto crear obstáculos innecesarios al comercio internacional. Ello significa, entre otras cosas, que los procedimientos de evaluación de la conformidad no serán más estrictos ni se aplicarán de forma más rigurosa de lo necesario para dar al Miembro importador la debida seguridad de que los productos están en conformidad con los reglamentos técnicos o las normas aplicables, habida cuenta de los riesgos que provocaría el hecho de que no estuvieran en conformidad con ellos.</w:t>
      </w:r>
    </w:p>
    <w:p w14:paraId="20222F1E"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Al aplicar las disposiciones del párrafo 1, los Miembros se asegurarán de que:</w:t>
      </w:r>
    </w:p>
    <w:p w14:paraId="5A765F39" w14:textId="77777777" w:rsidR="00252E64" w:rsidRPr="00E26931" w:rsidRDefault="00252E64" w:rsidP="00745F71">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los procedimientos de evaluación de la conformidad se inicien y ultimen con la mayor rapidez posible y en un orden no menos favorable para los productos originarios de los territorios de otros Miembros que para los productos nacionales similares;</w:t>
      </w:r>
    </w:p>
    <w:p w14:paraId="0A2FF8EF" w14:textId="77777777" w:rsidR="00252E64" w:rsidRPr="00E26931" w:rsidRDefault="00252E64" w:rsidP="00745F71">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se publique el período normal de tramitación de cada procedimiento de evaluación de la conformidad o se comunique al solicitante, previa petición, el período de tramitación previsto; de que, cuando reciba una solicitud, la institución competente examine prontamente si la documentación está completa y comunique al solicitante todas las deficiencias de manera precisa y completa; de que la institución competente transmita al solicitante lo antes posible los resultados de la evaluación de una manera precisa y completa, de modo que puedan tomarse medidas correctivas si fuera necesario; de que, incluso cuando la solicitud presente deficiencias, la institución competente siga adelante con la evaluación de la conformidad hasta donde sea viable, si así lo pide el solicitante; y de que, previa petición, se informe al solicitante de la fase en que se encuentra el procedimiento, explicándole los eventuales retrasos;</w:t>
      </w:r>
    </w:p>
    <w:p w14:paraId="6D6D9986" w14:textId="77777777" w:rsidR="00252E64" w:rsidRPr="00E26931" w:rsidRDefault="00252E64" w:rsidP="00745F71">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no se exija más información de la necesaria para evaluar la conformidad y calcular los derechos;</w:t>
      </w:r>
    </w:p>
    <w:p w14:paraId="20A7AC6F" w14:textId="77777777" w:rsidR="00252E64" w:rsidRPr="00E26931" w:rsidRDefault="00252E64" w:rsidP="00745F71">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el carácter confidencial de las informaciones referentes a los productos originarios de los territorios de otros Miembros, que resulten de tales procedimientos de evaluación de la conformidad o hayan sido facilitadas con motivo de ellos, se respete de la misma manera que en el caso de los productos nacionales y de manera que se protejan los intereses comerciales legítimos;</w:t>
      </w:r>
    </w:p>
    <w:p w14:paraId="5B8ED073" w14:textId="77777777" w:rsidR="00252E64" w:rsidRPr="00E26931" w:rsidRDefault="00252E64" w:rsidP="00745F71">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 xml:space="preserve">los derechos que puedan imponerse por evaluar la conformidad de los productos originarios de los territorios de otros Miembros sean equitativos en comparación con los que se percibirían por evaluar la conformidad de productos similares de origen </w:t>
      </w:r>
      <w:r w:rsidRPr="00E26931">
        <w:rPr>
          <w:rFonts w:eastAsia="Times New Roman" w:cs="Times New Roman"/>
          <w:color w:val="131413"/>
          <w:szCs w:val="18"/>
        </w:rPr>
        <w:lastRenderedPageBreak/>
        <w:t>nacional u originarios de cualquier otro país, teniendo en cuenta los gastos de las comunicaciones, el transporte y otros gastos derivados de las diferencias de emplazamiento de las instalaciones del solicitante y las de la institución de evaluación de la conformidad;</w:t>
      </w:r>
    </w:p>
    <w:p w14:paraId="10DFB97A" w14:textId="77777777" w:rsidR="00252E64" w:rsidRPr="00E26931" w:rsidRDefault="00252E64" w:rsidP="00EA525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el emplazamiento de las instalaciones utilizadas en los procedimientos de evaluación de la conformidad y los procedimientos de selección de muestras no causen molestias innecesarias a los solicitantes, o sus agentes;</w:t>
      </w:r>
    </w:p>
    <w:p w14:paraId="71DB2DCC" w14:textId="77777777" w:rsidR="00252E64" w:rsidRPr="00E26931" w:rsidRDefault="00252E64" w:rsidP="00EA525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cuando se modifiquen las especificaciones de un producto tras haberse declarado su conformidad con los reglamentos técnicos o las normas aplicables, el procedimiento de evaluación de la conformidad del producto modificado se circunscriba a lo necesario para determinar si existe la debida seguridad de que el producto sigue ajustándose a los reglamentos técnicos o a las normas aplicables;</w:t>
      </w:r>
    </w:p>
    <w:p w14:paraId="0078D8F5" w14:textId="77777777" w:rsidR="00252E64" w:rsidRPr="00E26931" w:rsidRDefault="00252E64" w:rsidP="00EA525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exista un procedimiento para examinar las reclamaciones relativas al funcionamiento de un procedimiento de evaluación de la conformidad y tomar medidas correctivas cuando la reclamación esté justificada.</w:t>
      </w:r>
    </w:p>
    <w:p w14:paraId="3727ED92"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Ninguna disposición de los párrafos 1 y 2 impedirá a los Miembros la realización en su territorio de controles razonables por muestreo.</w:t>
      </w:r>
    </w:p>
    <w:p w14:paraId="11D1C738"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los casos en que se exija una declaración positiva de que los productos están en conformidad con los reglamentos técnicos o las normas, y existan o estén a punto de publicarse orientaciones o recomendaciones pertinentes de instituciones internacionales con actividades de normalización, los Miembros se asegurarán de que las instituciones del gobierno central utilicen esas orientaciones o recomendaciones, o las partes pertinentes de ellas, como base de sus procedimientos de evaluación de la conformidad, excepto en el caso de que, según debe explicarse debidamente previa petición, esas orientaciones o recomendaciones o las partes pertinentes de ellas no resulten apropiadas para los Miembros interesados por razones tales como imperativos de seguridad nacional, la prevención de prácticas que puedan inducir a error, protección de la salud o seguridad humanas, de la vida o salud animal o vegetal o del medio ambiente, factores climáticos u otros factores geográficos fundamentales o problemas tecnológicos o de infraestructura fundamentales.</w:t>
      </w:r>
    </w:p>
    <w:p w14:paraId="37D471BB"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Con el fin de armonizar sus procedimientos de evaluación de la conformidad en el mayor grado posible, los Miembros participarán plenamente, dentro de los límites de sus recursos, en la elaboración por las instituciones internacionales competentes con actividades de normalización de orientaciones o recomendaciones referentes a los procedimientos de evaluación de la conformidad.</w:t>
      </w:r>
    </w:p>
    <w:p w14:paraId="6C1BEA39"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todos los casos en que no exista una orientación o recomendación pertinente de una institución internacional con actividades de normalización o en que el contenido técnico de un procedimiento de evaluación de la conformidad en proyecto no esté en conformidad con las orientaciones o recomendaciones pertinentes de instituciones internacionales con actividades de normalización, y siempre que el procedimiento de evaluación de la conformidad pueda tener un efecto significativo en el comercio de otros Miembros, los Miembros:</w:t>
      </w:r>
    </w:p>
    <w:p w14:paraId="05F57E01" w14:textId="77777777" w:rsidR="00252E64" w:rsidRPr="00E26931" w:rsidRDefault="00252E64" w:rsidP="004050FB">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anunciarán mediante un aviso en una publicación, en una etapa convenientemente temprana, de modo que pueda llegar a conocimiento de las partes interesadas de los demás Miembros, que proyectan introducir un determinado procedimiento de evaluación de la conformidad;</w:t>
      </w:r>
    </w:p>
    <w:p w14:paraId="35EF920E" w14:textId="77777777" w:rsidR="00252E64" w:rsidRPr="00E26931" w:rsidRDefault="00252E64" w:rsidP="004050FB">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notificarán a los demás Miembros, por conducto de la Secretaría, cuáles serán los productos abarcados por el procedimiento de evaluación de la conformidad en proyecto, indicando brevemente su objetivo y razón de ser. Tales notificaciones se harán en una etapa convenientemente temprana, cuando puedan aún introducirse modificaciones y tenerse en cuenta las observaciones que se formulen;</w:t>
      </w:r>
    </w:p>
    <w:p w14:paraId="42C2E493" w14:textId="77777777" w:rsidR="00252E64" w:rsidRPr="00E26931" w:rsidRDefault="00252E64" w:rsidP="004050FB">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previa solicitud, facilitarán a los demás Miembros detalles sobre</w:t>
      </w:r>
      <w:r w:rsidR="002125B6" w:rsidRPr="00E26931">
        <w:rPr>
          <w:rFonts w:eastAsia="Times New Roman" w:cs="Times New Roman"/>
          <w:color w:val="131413"/>
          <w:szCs w:val="18"/>
        </w:rPr>
        <w:t xml:space="preserve"> </w:t>
      </w:r>
      <w:r w:rsidRPr="00E26931">
        <w:rPr>
          <w:rFonts w:eastAsia="Times New Roman" w:cs="Times New Roman"/>
          <w:color w:val="131413"/>
          <w:szCs w:val="18"/>
        </w:rPr>
        <w:t>el procedimiento en proyecto o el texto del mismo y señalarán, siempre que sea posible, las partes que en sustancia difieran de las</w:t>
      </w:r>
      <w:r w:rsidR="00795AA0" w:rsidRPr="00E26931">
        <w:rPr>
          <w:rFonts w:eastAsia="Times New Roman" w:cs="Times New Roman"/>
          <w:color w:val="131413"/>
          <w:szCs w:val="18"/>
        </w:rPr>
        <w:t xml:space="preserve"> </w:t>
      </w:r>
      <w:r w:rsidRPr="00E26931">
        <w:rPr>
          <w:rFonts w:eastAsia="Times New Roman" w:cs="Times New Roman"/>
          <w:color w:val="131413"/>
          <w:szCs w:val="18"/>
        </w:rPr>
        <w:t>orientaciones o recomendaciones pertinentes de instituciones internacionales con actividades de normalización;</w:t>
      </w:r>
    </w:p>
    <w:p w14:paraId="49C7ABCD" w14:textId="77777777" w:rsidR="00252E64" w:rsidRPr="00E26931" w:rsidRDefault="00252E64" w:rsidP="004B7A7C">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lastRenderedPageBreak/>
        <w:t>sin discriminación alguna, preverán un plazo prudencial para que los demás Miembros puedan formular observaciones por escrito, mantendrán conversaciones sobre esas observaciones si así se les solicita y tomarán en cuenta dichas observaciones escritas y los resultados de dichas conversaciones.</w:t>
      </w:r>
    </w:p>
    <w:p w14:paraId="0C16AD7E"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Sin perjuicio de lo dispuesto en la introducción del párrafo 6, si a algún Miembro se le planteasen o amenazaran planteársele problemas urgentes de seguridad, sanidad, protección del medio ambiente o seguridad nacional, dicho Miembro podrá omitir los trámites enumerados en el párrafo 6 según considere necesario, a condición de que al adoptar el procedimiento cumpla con lo siguiente:</w:t>
      </w:r>
    </w:p>
    <w:p w14:paraId="5D0A8254" w14:textId="77777777" w:rsidR="00252E64" w:rsidRPr="00E26931" w:rsidRDefault="00252E64" w:rsidP="003F7A1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notificar inmediatamente a los demás Miembros, por conducto de la Secretaría, el procedimiento y los productos de que se trate, indicando brevemente el objetivo y la razón de ser del procedimiento, así como la naturaleza de los problemas urgentes;</w:t>
      </w:r>
    </w:p>
    <w:p w14:paraId="7736BC42" w14:textId="77777777" w:rsidR="00252E64" w:rsidRPr="00E26931" w:rsidRDefault="00252E64" w:rsidP="003F7A1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 xml:space="preserve">previa solicitud, facilitar a los demás Miembros el texto de las reglas </w:t>
      </w:r>
      <w:r w:rsidRPr="003F7A19">
        <w:rPr>
          <w:rFonts w:eastAsia="Times New Roman" w:cs="Times New Roman"/>
          <w:szCs w:val="18"/>
        </w:rPr>
        <w:t>del</w:t>
      </w:r>
      <w:r w:rsidRPr="00E26931">
        <w:rPr>
          <w:rFonts w:eastAsia="Times New Roman" w:cs="Times New Roman"/>
          <w:color w:val="131413"/>
          <w:szCs w:val="18"/>
        </w:rPr>
        <w:t xml:space="preserve"> procedimiento;</w:t>
      </w:r>
    </w:p>
    <w:p w14:paraId="09E137D3" w14:textId="77777777" w:rsidR="00252E64" w:rsidRPr="00E26931" w:rsidRDefault="00252E64" w:rsidP="003F7A19">
      <w:pPr>
        <w:numPr>
          <w:ilvl w:val="2"/>
          <w:numId w:val="46"/>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dar sin discriminación a los demás Miembros la posibilidad de formular observaciones por escrito, mantener conversaciones sobre esas observaciones si así se le solicita y tomar en cuenta dichas observaciones escritas y los resultados de dichas conversaciones.</w:t>
      </w:r>
    </w:p>
    <w:p w14:paraId="20275945"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todos los procedimientos de evaluación de la conformidad que se hayan adoptado se publiquen prontamente o se pongan de otra manera a disposición de las partes interesadas de los demás Miembros para que éstas puedan conocer su contenido.</w:t>
      </w:r>
    </w:p>
    <w:p w14:paraId="209867B6" w14:textId="77777777" w:rsidR="00252E64" w:rsidRPr="00E26931" w:rsidRDefault="00252E64" w:rsidP="00A864A1">
      <w:pPr>
        <w:numPr>
          <w:ilvl w:val="1"/>
          <w:numId w:val="4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Salvo en las circunstancias urgentes mencionadas en el párrafo 7, los Miembros preverán un plazo prudencial entre la publicación de las prescripciones relativas a los procedimientos de evaluación de la conformidad y su entrada en vigor, con el fin de dar tiempo a los productores de los Miembros exportadores, y en especial de los países en desarrollo Miembros, para adaptar sus productos o sus métodos de producción a las prescripciones del Miembro importador.</w:t>
      </w:r>
    </w:p>
    <w:p w14:paraId="11CF7B13" w14:textId="77777777" w:rsidR="00252E64" w:rsidRPr="00E26931" w:rsidRDefault="00252E64" w:rsidP="000D173E">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6</w:t>
      </w:r>
    </w:p>
    <w:p w14:paraId="5FB14617" w14:textId="031EF690" w:rsidR="00252E64" w:rsidRPr="00E26931" w:rsidRDefault="00252E64" w:rsidP="00A864A1">
      <w:pPr>
        <w:autoSpaceDE w:val="0"/>
        <w:autoSpaceDN w:val="0"/>
        <w:spacing w:after="240"/>
        <w:jc w:val="center"/>
        <w:rPr>
          <w:rFonts w:eastAsia="Times New Roman" w:cs="Times New Roman"/>
          <w:i/>
          <w:szCs w:val="18"/>
        </w:rPr>
      </w:pPr>
      <w:r w:rsidRPr="00E26931">
        <w:rPr>
          <w:rFonts w:eastAsia="Times New Roman" w:cs="Times New Roman"/>
          <w:i/>
          <w:color w:val="131413"/>
          <w:szCs w:val="18"/>
        </w:rPr>
        <w:t>Reconocimiento de la evaluación de la conformidad</w:t>
      </w:r>
      <w:r w:rsidR="006D38DC">
        <w:rPr>
          <w:rFonts w:eastAsia="Times New Roman" w:cs="Times New Roman"/>
          <w:i/>
          <w:color w:val="131413"/>
          <w:szCs w:val="18"/>
        </w:rPr>
        <w:t xml:space="preserve"> </w:t>
      </w:r>
      <w:r w:rsidRPr="00E26931">
        <w:rPr>
          <w:rFonts w:eastAsia="Times New Roman" w:cs="Times New Roman"/>
          <w:i/>
          <w:color w:val="131413"/>
          <w:szCs w:val="18"/>
        </w:rPr>
        <w:t>por</w:t>
      </w:r>
      <w:r w:rsidR="006B74FF" w:rsidRPr="00E26931">
        <w:rPr>
          <w:rFonts w:eastAsia="Times New Roman" w:cs="Times New Roman"/>
          <w:i/>
          <w:color w:val="131413"/>
          <w:szCs w:val="18"/>
        </w:rPr>
        <w:t xml:space="preserve"> </w:t>
      </w:r>
      <w:r w:rsidR="006D38DC">
        <w:rPr>
          <w:rFonts w:eastAsia="Times New Roman" w:cs="Times New Roman"/>
          <w:i/>
          <w:color w:val="131413"/>
          <w:szCs w:val="18"/>
        </w:rPr>
        <w:br/>
      </w:r>
      <w:r w:rsidRPr="00E26931">
        <w:rPr>
          <w:rFonts w:eastAsia="Times New Roman" w:cs="Times New Roman"/>
          <w:i/>
          <w:color w:val="131413"/>
          <w:szCs w:val="18"/>
        </w:rPr>
        <w:t>las instituciones del gobierno central</w:t>
      </w:r>
    </w:p>
    <w:p w14:paraId="2EDAD76B" w14:textId="77777777" w:rsidR="00252E64" w:rsidRPr="00E26931" w:rsidRDefault="00795AA0" w:rsidP="00A864A1">
      <w:pPr>
        <w:autoSpaceDE w:val="0"/>
        <w:autoSpaceDN w:val="0"/>
        <w:spacing w:after="240"/>
        <w:jc w:val="left"/>
        <w:rPr>
          <w:rFonts w:eastAsia="Times New Roman" w:cs="Times New Roman"/>
          <w:szCs w:val="18"/>
        </w:rPr>
      </w:pPr>
      <w:r w:rsidRPr="00E26931">
        <w:rPr>
          <w:rFonts w:eastAsia="Times New Roman" w:cs="Times New Roman"/>
          <w:color w:val="131413"/>
          <w:szCs w:val="18"/>
        </w:rPr>
        <w:tab/>
      </w:r>
      <w:r w:rsidR="00252E64" w:rsidRPr="00E26931">
        <w:rPr>
          <w:rFonts w:eastAsia="Times New Roman" w:cs="Times New Roman"/>
          <w:color w:val="131413"/>
          <w:szCs w:val="18"/>
        </w:rPr>
        <w:t>Por lo que se refiere a las instituciones de su gobierno central:</w:t>
      </w:r>
    </w:p>
    <w:p w14:paraId="1C86EF67" w14:textId="77777777" w:rsidR="00252E64" w:rsidRPr="00E26931" w:rsidRDefault="00252E64" w:rsidP="00A864A1">
      <w:pPr>
        <w:numPr>
          <w:ilvl w:val="1"/>
          <w:numId w:val="45"/>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Sin perjuicio de lo dispuesto en los párrafos 3 y 4, los Miembros se asegurarán de que, cada vez que sea posible, se acepten los resultados de los procedimientos de evaluación de la conformidad de los demás Miembros, aun cuando esos procedimientos difieran de los suyos, siempre que tengan el convencimiento de que se trata de procedimientos que ofrecen un grado de conformidad con los reglamentos técnicos o normas pertinentes equivalente al de sus propios procedimientos.</w:t>
      </w:r>
      <w:r w:rsidR="00795AA0" w:rsidRPr="00E26931">
        <w:rPr>
          <w:rFonts w:eastAsia="Times New Roman" w:cs="Times New Roman"/>
          <w:color w:val="131413"/>
          <w:szCs w:val="18"/>
        </w:rPr>
        <w:t xml:space="preserve"> </w:t>
      </w:r>
      <w:r w:rsidRPr="00E26931">
        <w:rPr>
          <w:rFonts w:eastAsia="Times New Roman" w:cs="Times New Roman"/>
          <w:color w:val="131413"/>
          <w:szCs w:val="18"/>
        </w:rPr>
        <w:t>Se reconoce que podrá ser necesario proceder previamente a consultas para llegar a un entendimiento mutuamente satisfactorio por lo que respecta, en particular, a:</w:t>
      </w:r>
    </w:p>
    <w:p w14:paraId="7F9AF97D" w14:textId="77777777" w:rsidR="00252E64" w:rsidRPr="00E26931" w:rsidRDefault="00252E64" w:rsidP="00B63CA6">
      <w:pPr>
        <w:numPr>
          <w:ilvl w:val="2"/>
          <w:numId w:val="45"/>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 competencia técnica suficiente y continuada de las instituciones pertinentes de evaluación de la conformidad del Miembro exportador, con el fin de que pueda confiarse en la sostenida fiabilidad de los resultados de su evaluación de la conformidad; a este respecto, se tendrá en cuenta como exponente de una competencia técnica suficiente el hecho de que se haya verificado, por ejemplo mediante acreditación, que esas instituciones se atienen a las orientaciones o recomendaciones pertinentes de instituciones internacionales con actividades de normalización;</w:t>
      </w:r>
    </w:p>
    <w:p w14:paraId="77621DA7" w14:textId="77777777" w:rsidR="00252E64" w:rsidRPr="00E26931" w:rsidRDefault="00252E64" w:rsidP="00B63CA6">
      <w:pPr>
        <w:numPr>
          <w:ilvl w:val="2"/>
          <w:numId w:val="45"/>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 limitación de la aceptación de los resultados de la evaluación de la conformidad a los obtenidos por las instituciones designadas del Miembro exportador.</w:t>
      </w:r>
    </w:p>
    <w:p w14:paraId="0A188994" w14:textId="77777777" w:rsidR="00252E64" w:rsidRPr="00E26931" w:rsidRDefault="00252E64" w:rsidP="00A864A1">
      <w:pPr>
        <w:numPr>
          <w:ilvl w:val="1"/>
          <w:numId w:val="45"/>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Los Miembros se asegurarán de que sus procedimientos de evaluación de la conformidad permitan, en la medida de lo posible, la aplicación de las disposiciones del párrafo 1.</w:t>
      </w:r>
    </w:p>
    <w:p w14:paraId="6A62BA9F" w14:textId="77777777" w:rsidR="00252E64" w:rsidRPr="00E26931" w:rsidRDefault="00252E64" w:rsidP="00A864A1">
      <w:pPr>
        <w:numPr>
          <w:ilvl w:val="1"/>
          <w:numId w:val="45"/>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Se insta a los Miembros a que acepten, a petición de otros Miembros, entablar negociaciones encaminadas a la conclusión de acuerdos de mutuo reconocimiento de los resultados de sus respectivos procedimientos de evaluación de la conformidad. Los Miembros podrán exigir que esos acuerdos cumplan los criterios enunciados en el párrafo 1 y sean mutuamente satisfactorios desde el punto de vista de las posibilidades que entrañen de facilitar el comercio de los productos de que se trate.</w:t>
      </w:r>
    </w:p>
    <w:p w14:paraId="689E4704" w14:textId="77777777" w:rsidR="00252E64" w:rsidRPr="00E26931" w:rsidRDefault="00252E64" w:rsidP="00A864A1">
      <w:pPr>
        <w:numPr>
          <w:ilvl w:val="1"/>
          <w:numId w:val="45"/>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Se insta a los Miembros a que autoricen la participación de las instituciones de evaluación de la conformidad ubicadas en los territorios de otros Miembros en sus procedimientos de evaluación de la conformidad en condiciones no menos favorables que las otorgadas a las instituciones ubicadas en su territorio o en el de cualquier otro país.</w:t>
      </w:r>
    </w:p>
    <w:p w14:paraId="1B175BD1" w14:textId="77777777" w:rsidR="00252E64" w:rsidRPr="00E26931" w:rsidRDefault="00252E64" w:rsidP="0099574D">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7</w:t>
      </w:r>
    </w:p>
    <w:p w14:paraId="6A2A21F6" w14:textId="38DE627C"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Procedimientos de evaluación de la conformidad aplicados</w:t>
      </w:r>
      <w:r w:rsidR="006B74FF" w:rsidRPr="00E26931">
        <w:rPr>
          <w:rFonts w:eastAsia="Times New Roman" w:cs="Times New Roman"/>
          <w:i/>
          <w:color w:val="131413"/>
          <w:szCs w:val="18"/>
        </w:rPr>
        <w:br/>
      </w:r>
      <w:r w:rsidRPr="00E26931">
        <w:rPr>
          <w:rFonts w:eastAsia="Times New Roman" w:cs="Times New Roman"/>
          <w:i/>
          <w:color w:val="131413"/>
          <w:szCs w:val="18"/>
        </w:rPr>
        <w:t>por</w:t>
      </w:r>
      <w:r w:rsidR="006B74FF" w:rsidRPr="00E26931">
        <w:rPr>
          <w:rFonts w:eastAsia="Times New Roman" w:cs="Times New Roman"/>
          <w:i/>
          <w:color w:val="131413"/>
          <w:szCs w:val="18"/>
        </w:rPr>
        <w:t xml:space="preserve"> </w:t>
      </w:r>
      <w:r w:rsidRPr="00E26931">
        <w:rPr>
          <w:rFonts w:eastAsia="Times New Roman" w:cs="Times New Roman"/>
          <w:i/>
          <w:color w:val="131413"/>
          <w:szCs w:val="18"/>
        </w:rPr>
        <w:t>las instituciones públicas locales</w:t>
      </w:r>
    </w:p>
    <w:p w14:paraId="6D65CDAE" w14:textId="77777777" w:rsidR="00252E64" w:rsidRPr="00E26931" w:rsidRDefault="006A4D04" w:rsidP="00A864A1">
      <w:pPr>
        <w:autoSpaceDE w:val="0"/>
        <w:autoSpaceDN w:val="0"/>
        <w:spacing w:after="240"/>
        <w:jc w:val="left"/>
        <w:rPr>
          <w:rFonts w:eastAsia="Times New Roman" w:cs="Times New Roman"/>
          <w:szCs w:val="18"/>
        </w:rPr>
      </w:pPr>
      <w:r w:rsidRPr="00E26931">
        <w:rPr>
          <w:rFonts w:eastAsia="Times New Roman" w:cs="Times New Roman"/>
          <w:color w:val="131413"/>
          <w:szCs w:val="18"/>
        </w:rPr>
        <w:tab/>
      </w:r>
      <w:r w:rsidR="00252E64" w:rsidRPr="00E26931">
        <w:rPr>
          <w:rFonts w:eastAsia="Times New Roman" w:cs="Times New Roman"/>
          <w:color w:val="131413"/>
          <w:szCs w:val="18"/>
        </w:rPr>
        <w:t>Por lo que se refiere a las instituciones públicas locales existentes en su territorio:</w:t>
      </w:r>
    </w:p>
    <w:p w14:paraId="75907AF4" w14:textId="77777777" w:rsidR="00252E64" w:rsidRPr="00E26931" w:rsidRDefault="00252E64" w:rsidP="00A864A1">
      <w:pPr>
        <w:numPr>
          <w:ilvl w:val="1"/>
          <w:numId w:val="4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lograr que dichas instituciones cumplan las disposiciones de los artículos 5 y 6,</w:t>
      </w:r>
      <w:r w:rsidR="002125B6" w:rsidRPr="00E26931">
        <w:rPr>
          <w:rFonts w:eastAsia="Times New Roman" w:cs="Times New Roman"/>
          <w:color w:val="131413"/>
          <w:szCs w:val="18"/>
        </w:rPr>
        <w:t xml:space="preserve"> </w:t>
      </w:r>
      <w:r w:rsidRPr="00E26931">
        <w:rPr>
          <w:rFonts w:eastAsia="Times New Roman" w:cs="Times New Roman"/>
          <w:color w:val="131413"/>
          <w:szCs w:val="18"/>
        </w:rPr>
        <w:t>a excepción de la obligación de notificar estipulada en los apartados 6.2 y 7.1 del artículo 5.</w:t>
      </w:r>
    </w:p>
    <w:p w14:paraId="42C9CE76" w14:textId="6C1BD291" w:rsidR="00252E64" w:rsidRPr="00E26931" w:rsidRDefault="00252E64" w:rsidP="00A864A1">
      <w:pPr>
        <w:numPr>
          <w:ilvl w:val="1"/>
          <w:numId w:val="4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los procedimientos de evaluación de la conformidad aplicados por los gobiernos locales del nivel inmediatamente inferior al del gobierno central de los Miembros se notifiquen de conformidad con las disposiciones de los apartados 6.2 y 7.1 del artículo</w:t>
      </w:r>
      <w:r w:rsidR="006B74FF" w:rsidRPr="00E26931">
        <w:rPr>
          <w:rFonts w:eastAsia="Times New Roman" w:cs="Times New Roman"/>
          <w:color w:val="131413"/>
          <w:szCs w:val="18"/>
        </w:rPr>
        <w:t> </w:t>
      </w:r>
      <w:r w:rsidRPr="00E26931">
        <w:rPr>
          <w:rFonts w:eastAsia="Times New Roman" w:cs="Times New Roman"/>
          <w:color w:val="131413"/>
          <w:szCs w:val="18"/>
        </w:rPr>
        <w:t>5, quedando entendido que no se</w:t>
      </w:r>
      <w:r w:rsidR="006A4D04" w:rsidRPr="00E26931">
        <w:rPr>
          <w:rFonts w:eastAsia="Times New Roman" w:cs="Times New Roman"/>
          <w:color w:val="131413"/>
          <w:szCs w:val="18"/>
        </w:rPr>
        <w:t xml:space="preserve"> </w:t>
      </w:r>
      <w:r w:rsidRPr="00E26931">
        <w:rPr>
          <w:rFonts w:eastAsia="Times New Roman" w:cs="Times New Roman"/>
          <w:color w:val="131413"/>
          <w:szCs w:val="18"/>
        </w:rPr>
        <w:t>exigirá notificar los procedimientos de evaluación de la conformidad cuyo contenido técnico sea en sustancia el mismo que el de los procedimientos ya notificados de evaluación de la conformidad por las instituciones del gobierno central de los Miembros interesados.</w:t>
      </w:r>
    </w:p>
    <w:p w14:paraId="53026D64" w14:textId="77777777" w:rsidR="00252E64" w:rsidRPr="00E26931" w:rsidRDefault="00252E64" w:rsidP="00A864A1">
      <w:pPr>
        <w:numPr>
          <w:ilvl w:val="1"/>
          <w:numId w:val="4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podrán exigir que los contactos con otros Miembros, incluidas las notificaciones, el suministro de información, la formulación de observaciones y la celebración de conversaciones objeto de los párrafos 6 y 7 del artículo 5, se realicen por conducto del gobierno central.</w:t>
      </w:r>
    </w:p>
    <w:p w14:paraId="1F2B7E15" w14:textId="3DD2FA5A" w:rsidR="00252E64" w:rsidRPr="00E26931" w:rsidRDefault="00252E64" w:rsidP="00A864A1">
      <w:pPr>
        <w:numPr>
          <w:ilvl w:val="1"/>
          <w:numId w:val="4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no adoptarán medidas que obliguen o alienten a las instituciones públicas locales existentes en sus territorios a actuar de manera incompatible con las disposiciones de los artículos</w:t>
      </w:r>
      <w:r w:rsidR="006B74FF" w:rsidRPr="00E26931">
        <w:rPr>
          <w:rFonts w:eastAsia="Times New Roman" w:cs="Times New Roman"/>
          <w:color w:val="131413"/>
          <w:szCs w:val="18"/>
        </w:rPr>
        <w:t> </w:t>
      </w:r>
      <w:r w:rsidRPr="00E26931">
        <w:rPr>
          <w:rFonts w:eastAsia="Times New Roman" w:cs="Times New Roman"/>
          <w:color w:val="131413"/>
          <w:szCs w:val="18"/>
        </w:rPr>
        <w:t>5 y</w:t>
      </w:r>
      <w:r w:rsidR="009F11D8">
        <w:rPr>
          <w:rFonts w:eastAsia="Times New Roman" w:cs="Times New Roman"/>
          <w:color w:val="131413"/>
          <w:szCs w:val="18"/>
        </w:rPr>
        <w:t xml:space="preserve"> </w:t>
      </w:r>
      <w:r w:rsidRPr="00E26931">
        <w:rPr>
          <w:rFonts w:eastAsia="Times New Roman" w:cs="Times New Roman"/>
          <w:color w:val="131413"/>
          <w:szCs w:val="18"/>
        </w:rPr>
        <w:t>6.</w:t>
      </w:r>
    </w:p>
    <w:p w14:paraId="62909C8E" w14:textId="77777777" w:rsidR="00252E64" w:rsidRPr="00E26931" w:rsidRDefault="00252E64" w:rsidP="00A864A1">
      <w:pPr>
        <w:numPr>
          <w:ilvl w:val="1"/>
          <w:numId w:val="4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virtud del presente Acuerdo, los Miembros son plenamente responsables de la observancia de todas las disposiciones de los artículos 5 y 6. Los Miembros elaborarán y aplicarán medidas y mecanismos positivos que favorezcan la observancia de las disposiciones de los artículos 5 y 6 por las instituciones que no sean del gobierno central.</w:t>
      </w:r>
    </w:p>
    <w:p w14:paraId="60D2E4E0" w14:textId="77777777" w:rsidR="00252E64" w:rsidRPr="00E26931" w:rsidRDefault="00252E64" w:rsidP="00532B8F">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8</w:t>
      </w:r>
    </w:p>
    <w:p w14:paraId="15A357CB" w14:textId="5D0B5B9C"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Procedimientos de evaluación de la conformidad aplicados</w:t>
      </w:r>
      <w:r w:rsidR="006B74FF" w:rsidRPr="00E26931">
        <w:rPr>
          <w:rFonts w:eastAsia="Times New Roman" w:cs="Times New Roman"/>
          <w:i/>
          <w:color w:val="131413"/>
          <w:szCs w:val="18"/>
        </w:rPr>
        <w:br/>
      </w:r>
      <w:r w:rsidRPr="00E26931">
        <w:rPr>
          <w:rFonts w:eastAsia="Times New Roman" w:cs="Times New Roman"/>
          <w:i/>
          <w:color w:val="131413"/>
          <w:szCs w:val="18"/>
        </w:rPr>
        <w:t>por</w:t>
      </w:r>
      <w:r w:rsidR="006B74FF" w:rsidRPr="00E26931">
        <w:rPr>
          <w:rFonts w:eastAsia="Times New Roman" w:cs="Times New Roman"/>
          <w:i/>
          <w:color w:val="131413"/>
          <w:szCs w:val="18"/>
        </w:rPr>
        <w:t xml:space="preserve"> </w:t>
      </w:r>
      <w:r w:rsidRPr="00E26931">
        <w:rPr>
          <w:rFonts w:eastAsia="Times New Roman" w:cs="Times New Roman"/>
          <w:i/>
          <w:color w:val="131413"/>
          <w:szCs w:val="18"/>
        </w:rPr>
        <w:t>las instituciones no gubernamentales</w:t>
      </w:r>
    </w:p>
    <w:p w14:paraId="366BC83C" w14:textId="77777777" w:rsidR="00252E64" w:rsidRPr="00E26931" w:rsidRDefault="00252E64" w:rsidP="00A864A1">
      <w:pPr>
        <w:numPr>
          <w:ilvl w:val="1"/>
          <w:numId w:val="4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asegurarse de que las instituciones no gubernamentales existentes en su territorio que apliquen procedimientos de evaluación de la conformidad cumplan las disposiciones de los artículos 5 y 6, a excepción de la obligación de notificar los procedimientos de evaluación de la conformidad en proyecto. Además, los Miembros no adoptarán medidas que tengan por efecto obligar o alentar directa o indirectamente a esas instituciones a actuar de manera incompatible con las disposiciones de los artículos 5 y 6.</w:t>
      </w:r>
    </w:p>
    <w:p w14:paraId="5FED7631" w14:textId="77777777" w:rsidR="00252E64" w:rsidRPr="00E26931" w:rsidRDefault="00252E64" w:rsidP="00A864A1">
      <w:pPr>
        <w:numPr>
          <w:ilvl w:val="1"/>
          <w:numId w:val="4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Los Miembros se asegurarán de que las instituciones de su gobierno central sólo se atengan a los procedimientos de evaluación de la conformidad aplicados por instituciones no gubernamentales si éstas cumplen las disposiciones de los artículos 5 y 6, a excepción de la obligación de notificar los procedimientos de evaluación de la conformidad en proyecto.</w:t>
      </w:r>
    </w:p>
    <w:p w14:paraId="33DC322F" w14:textId="77777777" w:rsidR="00252E64" w:rsidRPr="00E26931" w:rsidRDefault="00252E64" w:rsidP="006D47BF">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9</w:t>
      </w:r>
    </w:p>
    <w:p w14:paraId="217DFCA2" w14:textId="77777777"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Sistemas internacionales y regionales</w:t>
      </w:r>
    </w:p>
    <w:p w14:paraId="7951983B" w14:textId="77777777" w:rsidR="00252E64" w:rsidRPr="00E26931" w:rsidRDefault="00252E64" w:rsidP="00A864A1">
      <w:pPr>
        <w:numPr>
          <w:ilvl w:val="1"/>
          <w:numId w:val="42"/>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Cuando se exija una declaración positiva de conformidad con un reglamento técnico o una norma, los Miembros elaborarán y adoptarán, siempre que sea posible, sistemas internacionales de evaluación de la conformidad y se harán miembros de esos sistemas o participarán en ellos.</w:t>
      </w:r>
    </w:p>
    <w:p w14:paraId="4A4A1747" w14:textId="0269F7B2" w:rsidR="00252E64" w:rsidRPr="00E26931" w:rsidRDefault="00252E64" w:rsidP="00A864A1">
      <w:pPr>
        <w:numPr>
          <w:ilvl w:val="1"/>
          <w:numId w:val="42"/>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lograr que los sistemas internacionales y regionales de evaluación de la conformidad de los que las instituciones competentes de su territorio sean miembros o</w:t>
      </w:r>
      <w:r w:rsidR="006A4D04" w:rsidRPr="00E26931">
        <w:rPr>
          <w:rFonts w:eastAsia="Times New Roman" w:cs="Times New Roman"/>
          <w:color w:val="131413"/>
          <w:szCs w:val="18"/>
        </w:rPr>
        <w:t xml:space="preserve"> p</w:t>
      </w:r>
      <w:r w:rsidRPr="00E26931">
        <w:rPr>
          <w:rFonts w:eastAsia="Times New Roman" w:cs="Times New Roman"/>
          <w:color w:val="131413"/>
          <w:szCs w:val="18"/>
        </w:rPr>
        <w:t>articipantes</w:t>
      </w:r>
      <w:r w:rsidR="006A4D04" w:rsidRPr="00E26931">
        <w:rPr>
          <w:rFonts w:eastAsia="Times New Roman" w:cs="Times New Roman"/>
          <w:color w:val="131413"/>
          <w:szCs w:val="18"/>
        </w:rPr>
        <w:t xml:space="preserve"> </w:t>
      </w:r>
      <w:r w:rsidRPr="00E26931">
        <w:rPr>
          <w:rFonts w:eastAsia="Times New Roman" w:cs="Times New Roman"/>
          <w:color w:val="131413"/>
          <w:szCs w:val="18"/>
        </w:rPr>
        <w:t>cumplan</w:t>
      </w:r>
      <w:r w:rsidR="006A4D04" w:rsidRPr="00E26931">
        <w:rPr>
          <w:rFonts w:eastAsia="Times New Roman" w:cs="Times New Roman"/>
          <w:color w:val="131413"/>
          <w:szCs w:val="18"/>
        </w:rPr>
        <w:t xml:space="preserve"> </w:t>
      </w:r>
      <w:r w:rsidRPr="00E26931">
        <w:rPr>
          <w:rFonts w:eastAsia="Times New Roman" w:cs="Times New Roman"/>
          <w:color w:val="131413"/>
          <w:szCs w:val="18"/>
        </w:rPr>
        <w:t>las</w:t>
      </w:r>
      <w:r w:rsidR="006A4D04" w:rsidRPr="00E26931">
        <w:rPr>
          <w:rFonts w:eastAsia="Times New Roman" w:cs="Times New Roman"/>
          <w:color w:val="131413"/>
          <w:szCs w:val="18"/>
        </w:rPr>
        <w:t xml:space="preserve"> </w:t>
      </w:r>
      <w:r w:rsidRPr="00E26931">
        <w:rPr>
          <w:rFonts w:eastAsia="Times New Roman" w:cs="Times New Roman"/>
          <w:color w:val="131413"/>
          <w:szCs w:val="18"/>
        </w:rPr>
        <w:t>disposiciones</w:t>
      </w:r>
      <w:r w:rsidR="006A4D04" w:rsidRPr="00E26931">
        <w:rPr>
          <w:rFonts w:eastAsia="Times New Roman" w:cs="Times New Roman"/>
          <w:color w:val="131413"/>
          <w:szCs w:val="18"/>
        </w:rPr>
        <w:t xml:space="preserve"> </w:t>
      </w:r>
      <w:r w:rsidRPr="00E26931">
        <w:rPr>
          <w:rFonts w:eastAsia="Times New Roman" w:cs="Times New Roman"/>
          <w:color w:val="131413"/>
          <w:szCs w:val="18"/>
        </w:rPr>
        <w:t>de</w:t>
      </w:r>
      <w:r w:rsidR="006A4D04" w:rsidRPr="00E26931">
        <w:rPr>
          <w:rFonts w:eastAsia="Times New Roman" w:cs="Times New Roman"/>
          <w:color w:val="131413"/>
          <w:szCs w:val="18"/>
        </w:rPr>
        <w:t xml:space="preserve"> </w:t>
      </w:r>
      <w:r w:rsidRPr="00E26931">
        <w:rPr>
          <w:rFonts w:eastAsia="Times New Roman" w:cs="Times New Roman"/>
          <w:color w:val="131413"/>
          <w:szCs w:val="18"/>
        </w:rPr>
        <w:t>los</w:t>
      </w:r>
      <w:r w:rsidR="006A4D04" w:rsidRPr="00E26931">
        <w:rPr>
          <w:rFonts w:eastAsia="Times New Roman" w:cs="Times New Roman"/>
          <w:color w:val="131413"/>
          <w:szCs w:val="18"/>
        </w:rPr>
        <w:t xml:space="preserve"> </w:t>
      </w:r>
      <w:r w:rsidRPr="00E26931">
        <w:rPr>
          <w:rFonts w:eastAsia="Times New Roman" w:cs="Times New Roman"/>
          <w:color w:val="131413"/>
          <w:szCs w:val="18"/>
        </w:rPr>
        <w:t>artículos 5 y 6.</w:t>
      </w:r>
      <w:r w:rsidR="006B74FF" w:rsidRPr="00E26931">
        <w:rPr>
          <w:rFonts w:eastAsia="Times New Roman" w:cs="Times New Roman"/>
          <w:color w:val="131413"/>
          <w:szCs w:val="18"/>
        </w:rPr>
        <w:t xml:space="preserve"> </w:t>
      </w:r>
      <w:r w:rsidRPr="00E26931">
        <w:rPr>
          <w:rFonts w:eastAsia="Times New Roman" w:cs="Times New Roman"/>
          <w:color w:val="131413"/>
          <w:szCs w:val="18"/>
        </w:rPr>
        <w:t xml:space="preserve">Además, los Miembros </w:t>
      </w:r>
      <w:r w:rsidR="006A4D04" w:rsidRPr="00E26931">
        <w:rPr>
          <w:rFonts w:eastAsia="Times New Roman" w:cs="Times New Roman"/>
          <w:color w:val="131413"/>
          <w:szCs w:val="18"/>
        </w:rPr>
        <w:t>n</w:t>
      </w:r>
      <w:r w:rsidRPr="00E26931">
        <w:rPr>
          <w:rFonts w:eastAsia="Times New Roman" w:cs="Times New Roman"/>
          <w:color w:val="131413"/>
          <w:szCs w:val="18"/>
        </w:rPr>
        <w:t>o</w:t>
      </w:r>
      <w:r w:rsidR="006A4D04" w:rsidRPr="00E26931">
        <w:rPr>
          <w:rFonts w:eastAsia="Times New Roman" w:cs="Times New Roman"/>
          <w:color w:val="131413"/>
          <w:szCs w:val="18"/>
        </w:rPr>
        <w:t xml:space="preserve"> </w:t>
      </w:r>
      <w:r w:rsidRPr="00E26931">
        <w:rPr>
          <w:rFonts w:eastAsia="Times New Roman" w:cs="Times New Roman"/>
          <w:color w:val="131413"/>
          <w:szCs w:val="18"/>
        </w:rPr>
        <w:t>adoptarán</w:t>
      </w:r>
      <w:r w:rsidR="006A4D04" w:rsidRPr="00E26931">
        <w:rPr>
          <w:rFonts w:eastAsia="Times New Roman" w:cs="Times New Roman"/>
          <w:color w:val="131413"/>
          <w:szCs w:val="18"/>
        </w:rPr>
        <w:t xml:space="preserve"> </w:t>
      </w:r>
      <w:r w:rsidRPr="00E26931">
        <w:rPr>
          <w:rFonts w:eastAsia="Times New Roman" w:cs="Times New Roman"/>
          <w:color w:val="131413"/>
          <w:szCs w:val="18"/>
        </w:rPr>
        <w:t>medidas</w:t>
      </w:r>
      <w:r w:rsidR="006A4D04" w:rsidRPr="00E26931">
        <w:rPr>
          <w:rFonts w:eastAsia="Times New Roman" w:cs="Times New Roman"/>
          <w:color w:val="131413"/>
          <w:szCs w:val="18"/>
        </w:rPr>
        <w:t xml:space="preserve"> </w:t>
      </w:r>
      <w:r w:rsidRPr="00E26931">
        <w:rPr>
          <w:rFonts w:eastAsia="Times New Roman" w:cs="Times New Roman"/>
          <w:color w:val="131413"/>
          <w:szCs w:val="18"/>
        </w:rPr>
        <w:t>que</w:t>
      </w:r>
      <w:r w:rsidR="006A4D04" w:rsidRPr="00E26931">
        <w:rPr>
          <w:rFonts w:eastAsia="Times New Roman" w:cs="Times New Roman"/>
          <w:color w:val="131413"/>
          <w:szCs w:val="18"/>
        </w:rPr>
        <w:t xml:space="preserve"> </w:t>
      </w:r>
      <w:r w:rsidRPr="00E26931">
        <w:rPr>
          <w:rFonts w:eastAsia="Times New Roman" w:cs="Times New Roman"/>
          <w:color w:val="131413"/>
          <w:szCs w:val="18"/>
        </w:rPr>
        <w:t>tengan</w:t>
      </w:r>
      <w:r w:rsidR="006A4D04" w:rsidRPr="00E26931">
        <w:rPr>
          <w:rFonts w:eastAsia="Times New Roman" w:cs="Times New Roman"/>
          <w:color w:val="131413"/>
          <w:szCs w:val="18"/>
        </w:rPr>
        <w:t xml:space="preserve"> </w:t>
      </w:r>
      <w:r w:rsidRPr="00E26931">
        <w:rPr>
          <w:rFonts w:eastAsia="Times New Roman" w:cs="Times New Roman"/>
          <w:color w:val="131413"/>
          <w:szCs w:val="18"/>
        </w:rPr>
        <w:t>por</w:t>
      </w:r>
      <w:r w:rsidR="006A4D04" w:rsidRPr="00E26931">
        <w:rPr>
          <w:rFonts w:eastAsia="Times New Roman" w:cs="Times New Roman"/>
          <w:color w:val="131413"/>
          <w:szCs w:val="18"/>
        </w:rPr>
        <w:t xml:space="preserve"> </w:t>
      </w:r>
      <w:r w:rsidRPr="00E26931">
        <w:rPr>
          <w:rFonts w:eastAsia="Times New Roman" w:cs="Times New Roman"/>
          <w:color w:val="131413"/>
          <w:szCs w:val="18"/>
        </w:rPr>
        <w:t>efecto</w:t>
      </w:r>
      <w:r w:rsidR="006A4D04" w:rsidRPr="00E26931">
        <w:rPr>
          <w:rFonts w:eastAsia="Times New Roman" w:cs="Times New Roman"/>
          <w:color w:val="131413"/>
          <w:szCs w:val="18"/>
        </w:rPr>
        <w:t xml:space="preserve"> </w:t>
      </w:r>
      <w:r w:rsidRPr="00E26931">
        <w:rPr>
          <w:rFonts w:eastAsia="Times New Roman" w:cs="Times New Roman"/>
          <w:color w:val="131413"/>
          <w:szCs w:val="18"/>
        </w:rPr>
        <w:t>obligar</w:t>
      </w:r>
      <w:r w:rsidR="006A4D04" w:rsidRPr="00E26931">
        <w:rPr>
          <w:rFonts w:eastAsia="Times New Roman" w:cs="Times New Roman"/>
          <w:color w:val="131413"/>
          <w:szCs w:val="18"/>
        </w:rPr>
        <w:t xml:space="preserve"> </w:t>
      </w:r>
      <w:r w:rsidRPr="00E26931">
        <w:rPr>
          <w:rFonts w:eastAsia="Times New Roman" w:cs="Times New Roman"/>
          <w:color w:val="131413"/>
          <w:szCs w:val="18"/>
        </w:rPr>
        <w:t>o</w:t>
      </w:r>
      <w:r w:rsidR="006A4D04" w:rsidRPr="00E26931">
        <w:rPr>
          <w:rFonts w:eastAsia="Times New Roman" w:cs="Times New Roman"/>
          <w:color w:val="131413"/>
          <w:szCs w:val="18"/>
        </w:rPr>
        <w:t xml:space="preserve"> </w:t>
      </w:r>
      <w:r w:rsidRPr="00E26931">
        <w:rPr>
          <w:rFonts w:eastAsia="Times New Roman" w:cs="Times New Roman"/>
          <w:color w:val="131413"/>
          <w:szCs w:val="18"/>
        </w:rPr>
        <w:t>alentar</w:t>
      </w:r>
      <w:r w:rsidR="006A4D04" w:rsidRPr="00E26931">
        <w:rPr>
          <w:rFonts w:eastAsia="Times New Roman" w:cs="Times New Roman"/>
          <w:color w:val="131413"/>
          <w:szCs w:val="18"/>
        </w:rPr>
        <w:t xml:space="preserve"> </w:t>
      </w:r>
      <w:r w:rsidRPr="00E26931">
        <w:rPr>
          <w:rFonts w:eastAsia="Times New Roman" w:cs="Times New Roman"/>
          <w:color w:val="131413"/>
          <w:szCs w:val="18"/>
        </w:rPr>
        <w:t>directa</w:t>
      </w:r>
      <w:r w:rsidR="006A4D04" w:rsidRPr="00E26931">
        <w:rPr>
          <w:rFonts w:eastAsia="Times New Roman" w:cs="Times New Roman"/>
          <w:color w:val="131413"/>
          <w:szCs w:val="18"/>
        </w:rPr>
        <w:t xml:space="preserve"> </w:t>
      </w:r>
      <w:r w:rsidRPr="00E26931">
        <w:rPr>
          <w:rFonts w:eastAsia="Times New Roman" w:cs="Times New Roman"/>
          <w:color w:val="131413"/>
          <w:szCs w:val="18"/>
        </w:rPr>
        <w:t>o</w:t>
      </w:r>
      <w:r w:rsidR="006A4D04" w:rsidRPr="00E26931">
        <w:rPr>
          <w:rFonts w:eastAsia="Times New Roman" w:cs="Times New Roman"/>
          <w:color w:val="131413"/>
          <w:szCs w:val="18"/>
        </w:rPr>
        <w:t xml:space="preserve"> </w:t>
      </w:r>
      <w:r w:rsidRPr="00E26931">
        <w:rPr>
          <w:rFonts w:eastAsia="Times New Roman" w:cs="Times New Roman"/>
          <w:color w:val="131413"/>
          <w:szCs w:val="18"/>
        </w:rPr>
        <w:t>indirectamente a esos sistemas a actuar de manera incompatible con alguna de las disposiciones de los artículos 5 y 6.</w:t>
      </w:r>
    </w:p>
    <w:p w14:paraId="176BE4C6" w14:textId="77777777" w:rsidR="00252E64" w:rsidRPr="00E26931" w:rsidRDefault="00252E64" w:rsidP="00A864A1">
      <w:pPr>
        <w:numPr>
          <w:ilvl w:val="1"/>
          <w:numId w:val="42"/>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se asegurarán de que las instituciones de su gobierno central sólo se atengan a los sistemas internacionales o regionales de evaluación de la conformidad en la medida en que éstos cumplan las disposiciones de los artículos 5 y 6, según proceda.</w:t>
      </w:r>
    </w:p>
    <w:p w14:paraId="21343B93" w14:textId="77777777" w:rsidR="00252E64" w:rsidRPr="00E26931" w:rsidRDefault="00252E64" w:rsidP="006D47BF">
      <w:pPr>
        <w:autoSpaceDE w:val="0"/>
        <w:autoSpaceDN w:val="0"/>
        <w:spacing w:before="480" w:after="240"/>
        <w:jc w:val="center"/>
        <w:outlineLvl w:val="3"/>
        <w:rPr>
          <w:rFonts w:eastAsia="Times New Roman" w:cs="Times New Roman"/>
          <w:szCs w:val="18"/>
        </w:rPr>
      </w:pPr>
      <w:r w:rsidRPr="00E26931">
        <w:rPr>
          <w:rFonts w:eastAsia="Times New Roman" w:cs="Times New Roman"/>
          <w:color w:val="131413"/>
          <w:szCs w:val="18"/>
        </w:rPr>
        <w:t>INFORMACIÓN Y ASISTENCIA</w:t>
      </w:r>
    </w:p>
    <w:p w14:paraId="6BDE405B" w14:textId="77777777"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Artículo 10</w:t>
      </w:r>
    </w:p>
    <w:p w14:paraId="4857C79D" w14:textId="5DA388F2"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Información sobre los reglamentos técnicos, las normas y los</w:t>
      </w:r>
      <w:r w:rsidR="006B74FF" w:rsidRPr="00E26931">
        <w:rPr>
          <w:rFonts w:eastAsia="Times New Roman" w:cs="Times New Roman"/>
          <w:i/>
          <w:color w:val="131413"/>
          <w:szCs w:val="18"/>
        </w:rPr>
        <w:br/>
      </w:r>
      <w:r w:rsidRPr="00E26931">
        <w:rPr>
          <w:rFonts w:eastAsia="Times New Roman" w:cs="Times New Roman"/>
          <w:i/>
          <w:color w:val="131413"/>
          <w:szCs w:val="18"/>
        </w:rPr>
        <w:t>procedimientos</w:t>
      </w:r>
      <w:r w:rsidR="006B74FF" w:rsidRPr="00E26931">
        <w:rPr>
          <w:rFonts w:eastAsia="Times New Roman" w:cs="Times New Roman"/>
          <w:i/>
          <w:color w:val="131413"/>
          <w:szCs w:val="18"/>
        </w:rPr>
        <w:t xml:space="preserve"> </w:t>
      </w:r>
      <w:r w:rsidRPr="00E26931">
        <w:rPr>
          <w:rFonts w:eastAsia="Times New Roman" w:cs="Times New Roman"/>
          <w:i/>
          <w:color w:val="131413"/>
          <w:szCs w:val="18"/>
        </w:rPr>
        <w:t>de evaluación de la conformidad</w:t>
      </w:r>
    </w:p>
    <w:p w14:paraId="6A91A2E1" w14:textId="77777777" w:rsidR="00252E64" w:rsidRPr="00E26931" w:rsidRDefault="00252E64" w:rsidP="00A864A1">
      <w:pPr>
        <w:numPr>
          <w:ilvl w:val="1"/>
          <w:numId w:val="41"/>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Cada Miembro se asegurará de que exista un servicio que pueda responder a todas las peticiones razonables de información formuladas por otros Miembros y por partes interesadas de los demás Miembros y facilitar los documentos pertinentes referentes a:</w:t>
      </w:r>
    </w:p>
    <w:p w14:paraId="70229190" w14:textId="77777777" w:rsidR="00252E64" w:rsidRPr="00E26931" w:rsidRDefault="00252E64" w:rsidP="006D47BF">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los reglamentos técnicos que hayan adoptado o proyecten adoptar dentro de su territorio las instituciones del gobierno central, las instituciones públicas locales, las instituciones no gubernamentales legalmente habilitadas para hacer aplicar un reglamento técnico o las instituciones regionales con actividades de normalización de las que aquellas instituciones sean miembros o participantes;</w:t>
      </w:r>
    </w:p>
    <w:p w14:paraId="79373CDE" w14:textId="77777777" w:rsidR="00252E64" w:rsidRPr="00E26931" w:rsidRDefault="00252E64" w:rsidP="006D47BF">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las normas que hayan adoptado o proyecten adoptar dentro de su territorio las instituciones del gobierno central, las instituciones públicas locales o las instituciones regionales con actividades de normalización de las que aquellas instituciones sean miembros o participantes;</w:t>
      </w:r>
    </w:p>
    <w:p w14:paraId="5726FEB8" w14:textId="77777777" w:rsidR="00252E64" w:rsidRPr="00E26931" w:rsidRDefault="00252E64" w:rsidP="006D47BF">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los procedimientos de evaluación de la conformidad existentes o en proyecto que sean aplicados dentro de su territorio por instituciones del gobierno central, instituciones públicas locales o instituciones no gubernamentales legalmente habilitadas para hacer aplicar un reglamento técnico, o por instituciones regionales de las que aquellas instituciones sean miembros o participantes;</w:t>
      </w:r>
    </w:p>
    <w:p w14:paraId="0E06AC3E" w14:textId="77777777" w:rsidR="00252E64" w:rsidRPr="00E26931" w:rsidRDefault="00252E64" w:rsidP="006D47BF">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 condición de integrante o participante del Miembro, o de las instituciones del gobierno central o las instituciones públicas locales competentes dentro de su territorio, en instituciones internacionales y regionales con actividades de normalización y en sistemas de evaluación de la conformidad, así como en acuerdos bilaterales y multilaterales dentro del alcance del presente Acuerdo; dicho servicio también habrá de poder facilitar la información que razonablemente pueda esperarse sobre las disposiciones de esos sistemas y acuerdos;</w:t>
      </w:r>
    </w:p>
    <w:p w14:paraId="310A805F" w14:textId="043E2D1F" w:rsidR="00252E64" w:rsidRPr="00E26931" w:rsidRDefault="00252E64" w:rsidP="003C678B">
      <w:pPr>
        <w:numPr>
          <w:ilvl w:val="2"/>
          <w:numId w:val="41"/>
        </w:numPr>
        <w:autoSpaceDE w:val="0"/>
        <w:autoSpaceDN w:val="0"/>
        <w:spacing w:after="220"/>
        <w:ind w:left="1418" w:hanging="851"/>
        <w:rPr>
          <w:rFonts w:eastAsia="Times New Roman" w:cs="Times New Roman"/>
          <w:szCs w:val="18"/>
        </w:rPr>
      </w:pPr>
      <w:r w:rsidRPr="00E26931">
        <w:rPr>
          <w:rFonts w:eastAsia="Times New Roman" w:cs="Times New Roman"/>
          <w:color w:val="131413"/>
          <w:szCs w:val="18"/>
        </w:rPr>
        <w:lastRenderedPageBreak/>
        <w:t>los lugares donde se encuentren los avisos publicados de conformidad con el presente Acuerdo, o la indicación de dónde se pueden obtener esas informaciones;</w:t>
      </w:r>
      <w:r w:rsidR="000D6D9B">
        <w:rPr>
          <w:rFonts w:eastAsia="Times New Roman" w:cs="Times New Roman"/>
          <w:color w:val="131413"/>
          <w:szCs w:val="18"/>
        </w:rPr>
        <w:t> </w:t>
      </w:r>
      <w:r w:rsidRPr="00E26931">
        <w:rPr>
          <w:rFonts w:eastAsia="Times New Roman" w:cs="Times New Roman"/>
          <w:color w:val="131413"/>
          <w:szCs w:val="18"/>
        </w:rPr>
        <w:t>y</w:t>
      </w:r>
    </w:p>
    <w:p w14:paraId="7AEB78AD" w14:textId="77777777" w:rsidR="00252E64" w:rsidRPr="00E26931" w:rsidRDefault="00252E64" w:rsidP="003C678B">
      <w:pPr>
        <w:numPr>
          <w:ilvl w:val="2"/>
          <w:numId w:val="41"/>
        </w:numPr>
        <w:autoSpaceDE w:val="0"/>
        <w:autoSpaceDN w:val="0"/>
        <w:spacing w:after="220"/>
        <w:ind w:left="1418" w:hanging="851"/>
        <w:rPr>
          <w:rFonts w:eastAsia="Times New Roman" w:cs="Times New Roman"/>
          <w:szCs w:val="18"/>
        </w:rPr>
      </w:pPr>
      <w:r w:rsidRPr="00E26931">
        <w:rPr>
          <w:rFonts w:eastAsia="Times New Roman" w:cs="Times New Roman"/>
          <w:color w:val="131413"/>
          <w:szCs w:val="18"/>
        </w:rPr>
        <w:t>los lugares donde se encuentren los servicios a que se refiere el párrafo 3.</w:t>
      </w:r>
    </w:p>
    <w:p w14:paraId="36817F95" w14:textId="77777777" w:rsidR="00252E64" w:rsidRPr="00E26931" w:rsidRDefault="00252E64" w:rsidP="003C678B">
      <w:pPr>
        <w:numPr>
          <w:ilvl w:val="1"/>
          <w:numId w:val="41"/>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No obstante, si por razones jurídicas o administrativas un Miembro establece más de un servicio de información, ese Miembro suministrará a los demás Miembros información completa y precisa sobre la esfera de competencia asignada a cada uno de esos servicios. Además, ese Miembro velará por que toda petición dirigida por error a un servicio se transmita prontamente al servicio que corresponda.</w:t>
      </w:r>
    </w:p>
    <w:p w14:paraId="21083EFD" w14:textId="77777777" w:rsidR="00252E64" w:rsidRPr="00E26931" w:rsidRDefault="00252E64" w:rsidP="003C678B">
      <w:pPr>
        <w:numPr>
          <w:ilvl w:val="1"/>
          <w:numId w:val="41"/>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Cada Miembro tomará las medidas razonables que estén a su alcance para asegurarse de que existan uno o varios servicios que puedan responder a todas las peticiones razonables de información formuladas por otros Miembros y por partes interesadas de los demás Miembros así como facilitar o indicar dónde pueden obtenerse los documentos pertinentes referentes a:</w:t>
      </w:r>
    </w:p>
    <w:p w14:paraId="54652ACE" w14:textId="77777777" w:rsidR="00252E64" w:rsidRPr="00E26931" w:rsidRDefault="00252E64" w:rsidP="003C678B">
      <w:pPr>
        <w:numPr>
          <w:ilvl w:val="2"/>
          <w:numId w:val="41"/>
        </w:numPr>
        <w:autoSpaceDE w:val="0"/>
        <w:autoSpaceDN w:val="0"/>
        <w:spacing w:after="220"/>
        <w:ind w:left="1418" w:hanging="851"/>
        <w:rPr>
          <w:rFonts w:eastAsia="Times New Roman" w:cs="Times New Roman"/>
          <w:szCs w:val="18"/>
        </w:rPr>
      </w:pPr>
      <w:r w:rsidRPr="00E26931">
        <w:rPr>
          <w:rFonts w:eastAsia="Times New Roman" w:cs="Times New Roman"/>
          <w:color w:val="131413"/>
          <w:szCs w:val="18"/>
        </w:rPr>
        <w:t>las normas que hayan adoptado o proyecten adoptar dentro de su territorio las instituciones no gubernamentales con actividades de normalización o las instituciones regionales con actividades de normalización de las que aquellas instituciones sean miembros o participantes; y</w:t>
      </w:r>
    </w:p>
    <w:p w14:paraId="4827F1D5" w14:textId="77777777" w:rsidR="00252E64" w:rsidRPr="00E26931" w:rsidRDefault="00252E64" w:rsidP="003C678B">
      <w:pPr>
        <w:numPr>
          <w:ilvl w:val="2"/>
          <w:numId w:val="41"/>
        </w:numPr>
        <w:autoSpaceDE w:val="0"/>
        <w:autoSpaceDN w:val="0"/>
        <w:spacing w:after="220"/>
        <w:ind w:left="1418" w:hanging="851"/>
        <w:rPr>
          <w:rFonts w:eastAsia="Times New Roman" w:cs="Times New Roman"/>
          <w:szCs w:val="18"/>
        </w:rPr>
      </w:pPr>
      <w:r w:rsidRPr="00E26931">
        <w:rPr>
          <w:rFonts w:eastAsia="Times New Roman" w:cs="Times New Roman"/>
          <w:color w:val="131413"/>
          <w:szCs w:val="18"/>
        </w:rPr>
        <w:t>los procedimientos de evaluación de la conformidad existentes o en proyecto que sean aplicados dentro de su territorio por instituciones no gubernamentales, o por instituciones regionales de las que aquellas instituciones sean miembros o participantes;</w:t>
      </w:r>
    </w:p>
    <w:p w14:paraId="3F755FC8" w14:textId="77777777" w:rsidR="00252E64" w:rsidRPr="00E26931" w:rsidRDefault="00252E64" w:rsidP="003C678B">
      <w:pPr>
        <w:numPr>
          <w:ilvl w:val="2"/>
          <w:numId w:val="41"/>
        </w:numPr>
        <w:autoSpaceDE w:val="0"/>
        <w:autoSpaceDN w:val="0"/>
        <w:spacing w:after="220"/>
        <w:ind w:left="1418" w:hanging="851"/>
        <w:rPr>
          <w:rFonts w:eastAsia="Times New Roman" w:cs="Times New Roman"/>
          <w:szCs w:val="18"/>
        </w:rPr>
      </w:pPr>
      <w:r w:rsidRPr="00E26931">
        <w:rPr>
          <w:rFonts w:eastAsia="Times New Roman" w:cs="Times New Roman"/>
          <w:color w:val="131413"/>
          <w:szCs w:val="18"/>
        </w:rPr>
        <w:t>la condición de integrante o participante de las instituciones no gubernamentales pertinentes dentro de su territorio en instituciones internacionales y regionales con actividades de normalización y en sistemas de evaluación de la conformidad, así como en acuerdos bilaterales y multilaterales dentro del alcance del presente Acuerdo; dichos servicios también habrán de poder facilitar la información que razonablemente pueda esperarse sobre las disposiciones de esos sistemas y acuerdos.</w:t>
      </w:r>
    </w:p>
    <w:p w14:paraId="14E8489C" w14:textId="65C989A6" w:rsidR="00252E64" w:rsidRPr="00E26931" w:rsidRDefault="00252E64" w:rsidP="003C678B">
      <w:pPr>
        <w:numPr>
          <w:ilvl w:val="1"/>
          <w:numId w:val="41"/>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asegurarse de que, cuando otros Miembros o partes interesadas de otros Miembros pidan ejemplares de documentos con arreglo a las disposiciones del presente Acuerdo, se faciliten esos ejemplares a un precio equitativo (cuando no sean gratuitos) que, aparte del costo real de su envío, será el mismo para los nacionales</w:t>
      </w:r>
      <w:r w:rsidR="00542EEF" w:rsidRPr="00E26931">
        <w:rPr>
          <w:rStyle w:val="FootnoteReference"/>
          <w:rFonts w:eastAsia="Times New Roman" w:cs="Times New Roman"/>
          <w:color w:val="131413"/>
          <w:szCs w:val="18"/>
        </w:rPr>
        <w:footnoteReference w:id="1"/>
      </w:r>
      <w:r w:rsidRPr="00E26931">
        <w:rPr>
          <w:rFonts w:eastAsia="Times New Roman" w:cs="Times New Roman"/>
          <w:color w:val="131413"/>
          <w:szCs w:val="18"/>
        </w:rPr>
        <w:t xml:space="preserve"> del Miembro interesado o de cualquier otro Miembro.</w:t>
      </w:r>
    </w:p>
    <w:p w14:paraId="2E36510E" w14:textId="77777777" w:rsidR="00252E64" w:rsidRPr="00E26931" w:rsidRDefault="00252E64" w:rsidP="003C678B">
      <w:pPr>
        <w:numPr>
          <w:ilvl w:val="1"/>
          <w:numId w:val="41"/>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A petición de otros Miembros, los países desarrollados Miembros facilitarán traducciones, en español, francés o inglés, de los documentos a que se refiera una notificación concreta, o de resúmenes de ellos cuando se trate de documentos de gran extensión.</w:t>
      </w:r>
    </w:p>
    <w:p w14:paraId="74D04B64" w14:textId="77777777" w:rsidR="00252E64" w:rsidRPr="00E26931" w:rsidRDefault="00252E64" w:rsidP="003C678B">
      <w:pPr>
        <w:numPr>
          <w:ilvl w:val="1"/>
          <w:numId w:val="41"/>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Cuando la Secretaría reciba notificaciones con arreglo a las disposiciones del presente Acuerdo, dará traslado de las notificaciones a todos los Miembros y a las instituciones internacionales con actividades de normalización o de evaluación de la conformidad interesadas, y señalará a la atención de los países en desarrollo Miembros cualquier notificación relativa a productos que ofrezcan un interés particular para ellos.</w:t>
      </w:r>
    </w:p>
    <w:p w14:paraId="75E93C34" w14:textId="77777777" w:rsidR="00252E64" w:rsidRPr="00E26931" w:rsidRDefault="00252E64" w:rsidP="003C678B">
      <w:pPr>
        <w:numPr>
          <w:ilvl w:val="1"/>
          <w:numId w:val="41"/>
        </w:numPr>
        <w:autoSpaceDE w:val="0"/>
        <w:autoSpaceDN w:val="0"/>
        <w:spacing w:after="220"/>
        <w:ind w:left="0" w:firstLine="0"/>
        <w:rPr>
          <w:rFonts w:eastAsia="Times New Roman" w:cs="Times New Roman"/>
          <w:szCs w:val="18"/>
        </w:rPr>
      </w:pPr>
      <w:r w:rsidRPr="00E26931">
        <w:rPr>
          <w:rFonts w:eastAsia="Times New Roman" w:cs="Times New Roman"/>
          <w:color w:val="131413"/>
          <w:szCs w:val="18"/>
        </w:rPr>
        <w:t>En cada caso en que un Miembro llegue con algún otro país o países a un acuerdo acerca de cuestiones relacionadas con reglamentos técnicos, normas o procedimientos de evaluación de la conformidad que puedan tener un efecto significativo en el comercio, por lo menos uno de los Miembros parte en el acuerdo notificará por conducto de la Secretaría a los demás Miembros los productos abarcados por el acuerdo y acompañará a esa notificación una breve descripción de éste. Se insta a los Miembros de que se trate a que entablen consultas con otros Miembros, previa petición, para concluir acuerdos similares o prever su participación en esos acuerdos.</w:t>
      </w:r>
    </w:p>
    <w:p w14:paraId="0FB780EB" w14:textId="77777777" w:rsidR="00252E64" w:rsidRPr="00E26931" w:rsidRDefault="00252E64" w:rsidP="001E4522">
      <w:pPr>
        <w:keepNext/>
        <w:numPr>
          <w:ilvl w:val="1"/>
          <w:numId w:val="41"/>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Ninguna disposición del presente Acuerdo se interpretará en el sentido de imponer:</w:t>
      </w:r>
    </w:p>
    <w:p w14:paraId="0DD96BC0" w14:textId="77777777" w:rsidR="00252E64" w:rsidRPr="00E26931" w:rsidRDefault="00252E64" w:rsidP="0081466D">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 publicación de textos en un idioma distinto del idioma del Miembro;</w:t>
      </w:r>
    </w:p>
    <w:p w14:paraId="690756F3" w14:textId="77777777" w:rsidR="00252E64" w:rsidRPr="00E26931" w:rsidRDefault="00252E64" w:rsidP="0081466D">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 comunicación de detalles o del texto de proyectos en un idioma distinto del idioma del Miembro, excepto en el caso previsto en el párrafo 5; o</w:t>
      </w:r>
    </w:p>
    <w:p w14:paraId="599F9CF1" w14:textId="77777777" w:rsidR="00252E64" w:rsidRPr="00E26931" w:rsidRDefault="00252E64" w:rsidP="0081466D">
      <w:pPr>
        <w:numPr>
          <w:ilvl w:val="2"/>
          <w:numId w:val="41"/>
        </w:numPr>
        <w:autoSpaceDE w:val="0"/>
        <w:autoSpaceDN w:val="0"/>
        <w:spacing w:after="240"/>
        <w:ind w:left="1418" w:hanging="851"/>
        <w:rPr>
          <w:rFonts w:eastAsia="Times New Roman" w:cs="Times New Roman"/>
          <w:szCs w:val="18"/>
        </w:rPr>
      </w:pPr>
      <w:r w:rsidRPr="00E26931">
        <w:rPr>
          <w:rFonts w:eastAsia="Times New Roman" w:cs="Times New Roman"/>
          <w:color w:val="131413"/>
          <w:szCs w:val="18"/>
        </w:rPr>
        <w:t>la comunicación por los Miembros de cualquier información cuya divulgación consideren contraria a los intereses esenciales de su seguridad.</w:t>
      </w:r>
    </w:p>
    <w:p w14:paraId="5B549C45" w14:textId="77777777" w:rsidR="00252E64" w:rsidRPr="00E26931" w:rsidRDefault="00252E64" w:rsidP="00A864A1">
      <w:pPr>
        <w:numPr>
          <w:ilvl w:val="1"/>
          <w:numId w:val="41"/>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Las notificaciones dirigidas a la Secretaría se harán en español, francés o inglés.</w:t>
      </w:r>
    </w:p>
    <w:p w14:paraId="57FBF149" w14:textId="77777777" w:rsidR="00252E64" w:rsidRPr="00E26931" w:rsidRDefault="00252E64" w:rsidP="00A864A1">
      <w:pPr>
        <w:numPr>
          <w:ilvl w:val="1"/>
          <w:numId w:val="41"/>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designarán un solo organismo del gobierno central que será el responsable de la aplicación a nivel nacional de las disposiciones relativas a los procedimientos de notificación que se establecen en el presente Acuerdo, a excepción de las contenidas en el Anexo 3.</w:t>
      </w:r>
    </w:p>
    <w:p w14:paraId="77645EC6" w14:textId="4C04F5E8" w:rsidR="00DC1688" w:rsidRPr="00E26931" w:rsidRDefault="007609AF" w:rsidP="00A864A1">
      <w:pPr>
        <w:numPr>
          <w:ilvl w:val="1"/>
          <w:numId w:val="41"/>
        </w:numPr>
        <w:autoSpaceDE w:val="0"/>
        <w:autoSpaceDN w:val="0"/>
        <w:spacing w:after="240"/>
        <w:ind w:left="0" w:firstLine="0"/>
        <w:rPr>
          <w:szCs w:val="18"/>
        </w:rPr>
      </w:pPr>
      <w:r>
        <w:rPr>
          <w:rFonts w:eastAsia="Times New Roman" w:cs="Times New Roman"/>
          <w:color w:val="131413"/>
          <w:szCs w:val="18"/>
        </w:rPr>
        <w:t xml:space="preserve"> </w:t>
      </w:r>
      <w:r w:rsidR="00252E64" w:rsidRPr="00E26931">
        <w:rPr>
          <w:rFonts w:eastAsia="Times New Roman" w:cs="Times New Roman"/>
          <w:color w:val="131413"/>
          <w:szCs w:val="18"/>
        </w:rPr>
        <w:t>No obstante, si por razones jurídicas o administrativas la responsabilidad en materia de procedimientos de notificación está dividida entre dos o más autoridades del gobierno central, el Miembro de que se trate suministrará a los otros Miembros información completa y precisa sobre la esfera de competencia de cada una de esas autoridades.</w:t>
      </w:r>
    </w:p>
    <w:p w14:paraId="6094C94A" w14:textId="77777777" w:rsidR="00252E64" w:rsidRPr="00E26931" w:rsidRDefault="00252E64" w:rsidP="00A255A3">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11</w:t>
      </w:r>
    </w:p>
    <w:p w14:paraId="46FB035C" w14:textId="77777777" w:rsidR="00252E64" w:rsidRPr="00E26931" w:rsidRDefault="00252E64" w:rsidP="00A864A1">
      <w:pPr>
        <w:autoSpaceDE w:val="0"/>
        <w:autoSpaceDN w:val="0"/>
        <w:spacing w:after="240"/>
        <w:jc w:val="center"/>
        <w:rPr>
          <w:rFonts w:eastAsia="Times New Roman" w:cs="Times New Roman"/>
          <w:i/>
          <w:szCs w:val="18"/>
        </w:rPr>
      </w:pPr>
      <w:r w:rsidRPr="00E26931">
        <w:rPr>
          <w:rFonts w:eastAsia="Times New Roman" w:cs="Times New Roman"/>
          <w:i/>
          <w:color w:val="131413"/>
          <w:szCs w:val="18"/>
        </w:rPr>
        <w:t>Asistencia técnica a los demás Miembros</w:t>
      </w:r>
    </w:p>
    <w:p w14:paraId="26BCB458"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De recibir una petición a tal efecto, los Miembros asesorarán a los demás Miembros, en particular a los países en desarrollo Miembros, sobre la elaboración de reglamentos técnicos.</w:t>
      </w:r>
    </w:p>
    <w:p w14:paraId="305F583B"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De recibir una petición a tal efecto, los Miembros asesorarán a los demás Miembros, en particular a los países en desarrollo Miembros, y les prestarán asistencia técnica según las modalidades y en las condiciones que se decidan de común acuerdo, en lo referente a la creación de instituciones nacionales con actividades de normalización y su participación en la labor de las instituciones internacionales con actividades de normalización. Asimismo, alentarán a sus instituciones nacionales con actividades de normalización a hacer lo mismo.</w:t>
      </w:r>
    </w:p>
    <w:p w14:paraId="54C8951E"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De recibir una petición a tal efecto, los Miembros tomarán las medidas razonables que estén a su alcance para que las instituciones de reglamentación existentes en su territorio asesoren a los demás Miembros, en particular a los países en desarrollo Miembros, y les prestarán asistencia técnica según las modalidades y en las condiciones que se decidan de común acuerdo, en lo referente a:</w:t>
      </w:r>
    </w:p>
    <w:p w14:paraId="2E0D76E4" w14:textId="77777777" w:rsidR="00252E64" w:rsidRPr="00E26931" w:rsidRDefault="00252E64" w:rsidP="00A255A3">
      <w:pPr>
        <w:numPr>
          <w:ilvl w:val="2"/>
          <w:numId w:val="40"/>
        </w:numPr>
        <w:autoSpaceDE w:val="0"/>
        <w:autoSpaceDN w:val="0"/>
        <w:spacing w:after="240"/>
        <w:ind w:left="1418" w:hanging="851"/>
        <w:jc w:val="left"/>
        <w:rPr>
          <w:rFonts w:eastAsia="Times New Roman" w:cs="Times New Roman"/>
          <w:szCs w:val="18"/>
        </w:rPr>
      </w:pPr>
      <w:r w:rsidRPr="00E26931">
        <w:rPr>
          <w:rFonts w:eastAsia="Times New Roman" w:cs="Times New Roman"/>
          <w:color w:val="131413"/>
          <w:szCs w:val="18"/>
        </w:rPr>
        <w:t>la creación de instituciones de reglamentación, o de instituciones de evaluación de la conformidad con los reglamentos técnicos, y</w:t>
      </w:r>
    </w:p>
    <w:p w14:paraId="5596DE3F" w14:textId="77777777" w:rsidR="00252E64" w:rsidRPr="00E26931" w:rsidRDefault="00252E64" w:rsidP="00A255A3">
      <w:pPr>
        <w:numPr>
          <w:ilvl w:val="2"/>
          <w:numId w:val="40"/>
        </w:numPr>
        <w:autoSpaceDE w:val="0"/>
        <w:autoSpaceDN w:val="0"/>
        <w:spacing w:after="240"/>
        <w:ind w:left="1418" w:hanging="851"/>
        <w:jc w:val="left"/>
        <w:rPr>
          <w:rFonts w:eastAsia="Times New Roman" w:cs="Times New Roman"/>
          <w:szCs w:val="18"/>
        </w:rPr>
      </w:pPr>
      <w:r w:rsidRPr="00E26931">
        <w:rPr>
          <w:rFonts w:eastAsia="Times New Roman" w:cs="Times New Roman"/>
          <w:color w:val="131413"/>
          <w:szCs w:val="18"/>
        </w:rPr>
        <w:t>los métodos que mejor permitan cumplir con sus reglamentos técnicos.</w:t>
      </w:r>
    </w:p>
    <w:p w14:paraId="17D8F36D"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De recibir una petición a tal efecto, los Miembros tomarán las medidas razonables que estén a su alcance para que se preste asesoramiento a los demás Miembros, en particular a los países en desarrollo Miembros, y les prestarán asistencia técnica, según las modalidades y en las condiciones que se decidan de común acuerdo, en lo referente a la creación de instituciones de evaluación de la conformidad con las normas adoptadas en el territorio del Miembro peticionario.</w:t>
      </w:r>
    </w:p>
    <w:p w14:paraId="78FF5C95"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De recibir una petición a tal efecto, los Miembros asesorarán a los demás Miembros, en particular a los países en desarrollo Miembros, y les prestarán asistencia técnica, según las modalidades y en las condiciones que se decidan de común acuerdo, en lo referente a las medidas que sus productores tengan que adoptar si quieren tener acceso a los sistemas de evaluación de la conformidad aplicados por instituciones gubernamentales o no gubernamentales existentes en el territorio del Miembro al que se dirija la petición.</w:t>
      </w:r>
    </w:p>
    <w:p w14:paraId="778FC4F9" w14:textId="77777777" w:rsidR="00CE626A"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De recibir una petición a tal efecto, los Miembros que sean miembros o participantes en sistemas internacionales o regionales de evaluación de la conformidad asesorarán a los demás Miembros, en particular a los países en desarrollo Miembros, y les prestarán asistencia técnica, según las modalidades y en las condiciones que se decidan de común acuerdo, en lo referente a la creación de las instituciones y del marco jurídico que les permitan cumplir las obligaciones dimanantes de la condición de miembro o de participante en esos sistemas.</w:t>
      </w:r>
    </w:p>
    <w:p w14:paraId="6184869B"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De recibir una petición a tal efecto, los Miembros alentarán a las instituciones existentes en su territorio, que sean miembros o participantes en sistemas internacionales o regionales de evaluación de la conformidad, a asesorar a los demás Miembros, en particular a los países en desarrollo Miembros, y deberán examinar sus peticiones de asistencia técnica en lo referente a la creación de los medios institucionales que permitan a las instituciones competentes existentes en su territorio el cumplimiento de las obligaciones dimanantes de la condición de miembro o de participante en esos sistemas.</w:t>
      </w:r>
    </w:p>
    <w:p w14:paraId="342CD5C8" w14:textId="77777777" w:rsidR="00252E64" w:rsidRPr="00E26931" w:rsidRDefault="00252E64" w:rsidP="00A864A1">
      <w:pPr>
        <w:numPr>
          <w:ilvl w:val="1"/>
          <w:numId w:val="40"/>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Al prestar asesoramiento y asistencia técnica a otros Miembros, según lo estipulado en los párrafos 1 a 7, los Miembros concederán prioridad a las necesidades de los países menos adelantados Miembros.</w:t>
      </w:r>
    </w:p>
    <w:p w14:paraId="37121B98" w14:textId="77777777" w:rsidR="00252E64" w:rsidRPr="00E26931" w:rsidRDefault="00252E64" w:rsidP="00DE6C7C">
      <w:pPr>
        <w:autoSpaceDE w:val="0"/>
        <w:autoSpaceDN w:val="0"/>
        <w:spacing w:before="480" w:after="240"/>
        <w:jc w:val="center"/>
        <w:outlineLvl w:val="3"/>
        <w:rPr>
          <w:rFonts w:eastAsia="Times New Roman" w:cs="Times New Roman"/>
          <w:i/>
          <w:szCs w:val="18"/>
        </w:rPr>
      </w:pPr>
      <w:r w:rsidRPr="00E26931">
        <w:rPr>
          <w:rFonts w:eastAsia="Times New Roman" w:cs="Times New Roman"/>
          <w:i/>
          <w:color w:val="131413"/>
          <w:szCs w:val="18"/>
        </w:rPr>
        <w:t>Artículo 12</w:t>
      </w:r>
    </w:p>
    <w:p w14:paraId="4CB96A10" w14:textId="77777777"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Trato especial y diferenciado para los países en desarrollo Miembros</w:t>
      </w:r>
    </w:p>
    <w:p w14:paraId="0026CB79"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otorgarán a los países en desarrollo Miembros del presente Acuerdo un trato diferenciado y más favorable, tanto en virtud de las disposiciones siguientes como de las demás disposiciones pertinentes contenidas en otros artículos del presente Acuerdo.</w:t>
      </w:r>
    </w:p>
    <w:p w14:paraId="6B588465"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prestarán especial atención a las disposiciones del presente Acuerdo que afecten a los derechos y obligaciones de los países en desarrollo Miembros y tendrán en cuenta las necesidades especiales de éstos en materia de desarrollo, finanzas y comercio al aplicar el presente Acuerdo, tanto en el plano nacional como en la aplicación de las disposiciones institucionales en él previstas.</w:t>
      </w:r>
    </w:p>
    <w:p w14:paraId="3DDC13AC"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cuando preparen o apliquen reglamentos técnicos, normas y procedimientos para la evaluación de la conformidad, tendrán en cuenta las necesidades especiales que en materia de desarrollo, finanzas y comercio tengan los países en desarrollo Miembros, con el fin de asegurarse de que dichos reglamentos técnicos, normas y procedimientos para la determinación de la conformidad no creen obstáculos innecesarios para las exportaciones de</w:t>
      </w:r>
      <w:r w:rsidR="002125B6" w:rsidRPr="00E26931">
        <w:rPr>
          <w:rFonts w:eastAsia="Times New Roman" w:cs="Times New Roman"/>
          <w:color w:val="131413"/>
          <w:szCs w:val="18"/>
        </w:rPr>
        <w:t xml:space="preserve"> </w:t>
      </w:r>
      <w:r w:rsidRPr="00E26931">
        <w:rPr>
          <w:rFonts w:eastAsia="Times New Roman" w:cs="Times New Roman"/>
          <w:color w:val="131413"/>
          <w:szCs w:val="18"/>
        </w:rPr>
        <w:t>los países en desarrollo</w:t>
      </w:r>
      <w:r w:rsidR="002125B6" w:rsidRPr="00E26931">
        <w:rPr>
          <w:rFonts w:eastAsia="Times New Roman" w:cs="Times New Roman"/>
          <w:color w:val="131413"/>
          <w:szCs w:val="18"/>
        </w:rPr>
        <w:t xml:space="preserve"> </w:t>
      </w:r>
      <w:r w:rsidRPr="00E26931">
        <w:rPr>
          <w:rFonts w:eastAsia="Times New Roman" w:cs="Times New Roman"/>
          <w:color w:val="131413"/>
          <w:szCs w:val="18"/>
        </w:rPr>
        <w:t>Miembros.</w:t>
      </w:r>
    </w:p>
    <w:p w14:paraId="3EEB94D0"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admiten que, aunque puedan existir normas, guías o recomendaciones internacionales, los países en desarrollo Miembros, dadas sus condiciones tecnológicas y socioeconómicas particulares, adopten determinados reglamentos técnicos, normas o procedimientos de evaluación de la conformidad encaminados a preservar la tecnología y los métodos y procesos de producción autóctonos y compatibles con sus necesidades de desarrollo. Los Miembros reconocen por tanto que no debe esperarse de los países en desarrollo Miembros que utilicen como base de sus reglamentos técnicos o normas, incluidos los métodos de prueba, normas internacionales inadecuadas a sus necesidades en materia de desarrollo, finanzas y comercio.</w:t>
      </w:r>
    </w:p>
    <w:p w14:paraId="6EB8B58B"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asegurarse de que las instituciones internacionales con actividades de normalización y los sistemas internacionales de evaluación de la conformidad estén organizados</w:t>
      </w:r>
      <w:r w:rsidR="00D83ECA" w:rsidRPr="00E26931">
        <w:rPr>
          <w:rFonts w:eastAsia="Times New Roman" w:cs="Times New Roman"/>
          <w:color w:val="131413"/>
          <w:szCs w:val="18"/>
        </w:rPr>
        <w:t xml:space="preserve"> </w:t>
      </w:r>
      <w:r w:rsidRPr="00E26931">
        <w:rPr>
          <w:rFonts w:eastAsia="Times New Roman" w:cs="Times New Roman"/>
          <w:color w:val="131413"/>
          <w:szCs w:val="18"/>
        </w:rPr>
        <w:t>y funcionen de modo que faciliten la participación activa y representativa de las instituciones competentes de todos los Miembros, teniendo en cuenta los problemas especiales de los países en desarrollo Miembros.</w:t>
      </w:r>
    </w:p>
    <w:p w14:paraId="3F19885D"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Miembros tomarán las medidas razonables que estén a su alcance para asegurarse de que las instituciones internacionales con actividades de normalización, cuando así lo pidan los países en desarrollo Miembros, examinen la posibilidad de elaborar normas internacionales referentes a los productos que presenten especial interés para estos Miembros y, de ser factible, las elaboren.</w:t>
      </w:r>
    </w:p>
    <w:p w14:paraId="51911CCB"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De conformidad con lo dispuesto en el artículo 11, los Miembros proporcionarán asistencia técnica a los países en desarrollo Miembros a fin de asegurarse de que la elaboración y aplicación de los reglamentos técnicos, normas y procedimientos para la evaluación de la conformidad no creen obstáculos innecesarios a la expansión y diversificación de las exportaciones de estos Miembros. En la determinación de las modalidades y condiciones de esta asistencia técnica se tendrá en cuenta la etapa de desarrollo en que se halle el Miembro solicitante, especialmente en el caso de los países menos adelantados Miembros.</w:t>
      </w:r>
    </w:p>
    <w:p w14:paraId="470A7CC0"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Se reconoce que los países en desarrollo Miembros pueden tener problemas especiales, en particular de orden institucional y de infraestructura, en lo relativo a la elaboración y a la aplicación de reglamentos técnicos, normas y procedimientos para la evaluación de la conformidad. Se reconoce, además, que las necesidades especiales de estos Miembros en materia de desarrollo y comercio, así como la etapa de desarrollo tecnológico en que se encuentren, pueden disminuir su capacidad para cumplir íntegramente las obligaciones dimanantes del presente Acuerdo. Los Miembros tendrán pues plenamente en cuenta esa circunstancia. Por consiguiente, con objeto de que los países en desarrollo Miembros puedan cumplir el presente Acuerdo, se faculta al Comité de Obstáculos Técnicos al Comercio previsto en el artículo 13 (denominado en el presente Acuerdo el "Comité") para que conceda, previa solicitud, excepciones especificadas y limitadas en el tiempo, totales o parciales, al cumplimiento de obligaciones dimanantes del presente Acuerdo. Al examinar dichas solicitudes, el Comité tomará en cuenta los problemas especiales que existan en la esfera de la elaboración y la aplicación de reglamentos técnicos, normas y procedimientos para la evaluación de la conformidad, y las necesidades especiales del país en desarrollo Miembro en materia de desarrollo y de comercio, así como la etapa de adelanto tecnológico en que se encuentre, que puedan disminuir su capacidad de cumplir íntegramente las obligaciones dimanantes del presente Acuerdo. En particular, el Comité tomará en cuenta los problemas especiales de los países menos adelantados Miembros.</w:t>
      </w:r>
    </w:p>
    <w:p w14:paraId="7860A5E4"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Durante las consultas, los países desarrollados Miembros tendrán presentes las dificultades especiales de los países en desarrollo Miembros para la elaboración y aplicación de las normas, reglamentos técnicos y los procedimientos para la evaluación de la conformidad, y cuando se propongan ayudar a los países en desarrollo Miembros en los esfuerzos que realicen en esta esfera, los países desarrollados Miembros tomarán en cuenta las necesidades especiales de los países en desarrollo Miembros en materia de finanzas, comercio y desarrollo.</w:t>
      </w:r>
    </w:p>
    <w:p w14:paraId="2EC91B5C" w14:textId="77777777" w:rsidR="00252E64" w:rsidRPr="00E26931" w:rsidRDefault="00252E64" w:rsidP="00A864A1">
      <w:pPr>
        <w:numPr>
          <w:ilvl w:val="1"/>
          <w:numId w:val="39"/>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El Comité examinará periódicamente el trato especial y diferenciado que, conforme a lo previsto en el presente Acuerdo, se otorgue a los países en desarrollo Miembros tanto en el plano nacional como en el internacional.</w:t>
      </w:r>
    </w:p>
    <w:p w14:paraId="742B51E4" w14:textId="77777777" w:rsidR="00252E64" w:rsidRPr="00E26931" w:rsidRDefault="00252E64" w:rsidP="001674BE">
      <w:pPr>
        <w:autoSpaceDE w:val="0"/>
        <w:autoSpaceDN w:val="0"/>
        <w:spacing w:before="480" w:after="240"/>
        <w:jc w:val="center"/>
        <w:outlineLvl w:val="3"/>
        <w:rPr>
          <w:rFonts w:eastAsia="Times New Roman" w:cs="Times New Roman"/>
          <w:szCs w:val="18"/>
        </w:rPr>
      </w:pPr>
      <w:r w:rsidRPr="00E26931">
        <w:rPr>
          <w:rFonts w:eastAsia="Times New Roman" w:cs="Times New Roman"/>
          <w:color w:val="131413"/>
          <w:szCs w:val="18"/>
        </w:rPr>
        <w:t>INSTITUCIONES, CONSULTAS Y SOLUCIÓN DE DIFERENCIAS</w:t>
      </w:r>
    </w:p>
    <w:p w14:paraId="3CF17DE2" w14:textId="77777777"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Artículo 13</w:t>
      </w:r>
    </w:p>
    <w:p w14:paraId="177709DE" w14:textId="77777777" w:rsidR="00252E64" w:rsidRPr="00E26931" w:rsidRDefault="00252E64" w:rsidP="00A864A1">
      <w:pPr>
        <w:autoSpaceDE w:val="0"/>
        <w:autoSpaceDN w:val="0"/>
        <w:spacing w:after="240"/>
        <w:jc w:val="center"/>
        <w:outlineLvl w:val="3"/>
        <w:rPr>
          <w:rFonts w:eastAsia="Times New Roman" w:cs="Times New Roman"/>
          <w:i/>
          <w:szCs w:val="18"/>
        </w:rPr>
      </w:pPr>
      <w:r w:rsidRPr="00E26931">
        <w:rPr>
          <w:rFonts w:eastAsia="Times New Roman" w:cs="Times New Roman"/>
          <w:i/>
          <w:color w:val="131413"/>
          <w:szCs w:val="18"/>
        </w:rPr>
        <w:t>Comité de Obstáculos Técnicos al Comercio</w:t>
      </w:r>
    </w:p>
    <w:p w14:paraId="4CC2370E" w14:textId="77777777" w:rsidR="00252E64" w:rsidRPr="00E26931" w:rsidRDefault="00252E64" w:rsidP="00A864A1">
      <w:pPr>
        <w:numPr>
          <w:ilvl w:val="1"/>
          <w:numId w:val="3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virtud del presente Acuerdo se establece un Comité de Obstáculos Técnicos al Comercio, que estará compuesto de representantes de cada uno de los Miembros. El Comité elegirá a su Presidente y se reunirá cuando proceda, pero al menos una vez al año, para dar a los Miembros la oportunidad de consultarse sobre cualquier cuestión relativa al funcionamiento del presente Acuerdo o la consecución de sus objetivos, y desempeñará las funciones que le sean asignadas en virtud del presente Acuerdo o por los Miembros.</w:t>
      </w:r>
    </w:p>
    <w:p w14:paraId="51C6F0C5" w14:textId="77777777" w:rsidR="00252E64" w:rsidRPr="00E26931" w:rsidRDefault="00252E64" w:rsidP="00A864A1">
      <w:pPr>
        <w:numPr>
          <w:ilvl w:val="1"/>
          <w:numId w:val="3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El Comité establecerá grupos de trabajo u otros órganos apropiados que desempeñarán las funciones que el Comité les encomiende de conformidad con las disposiciones pertinentes del presente Acuerdo.</w:t>
      </w:r>
    </w:p>
    <w:p w14:paraId="580FA9DB" w14:textId="77777777" w:rsidR="00252E64" w:rsidRPr="00E26931" w:rsidRDefault="00252E64" w:rsidP="00A864A1">
      <w:pPr>
        <w:numPr>
          <w:ilvl w:val="1"/>
          <w:numId w:val="38"/>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Queda entendido que deberá evitarse toda duplicación innecesaria de la labor que se realice en virtud del presente Acuerdo y la que lleven a cabo los gobiernos en otros organismos técnicos. El Comité examinará este problema con el fin de reducir al mínimo esa duplicación.</w:t>
      </w:r>
    </w:p>
    <w:p w14:paraId="6BF40CCC" w14:textId="77777777" w:rsidR="00252E64" w:rsidRPr="00E26931" w:rsidRDefault="00252E64" w:rsidP="001E4522">
      <w:pPr>
        <w:keepNext/>
        <w:autoSpaceDE w:val="0"/>
        <w:autoSpaceDN w:val="0"/>
        <w:spacing w:before="480" w:after="240"/>
        <w:jc w:val="center"/>
        <w:outlineLvl w:val="3"/>
        <w:rPr>
          <w:rFonts w:eastAsia="Times New Roman" w:cs="Times New Roman"/>
          <w:i/>
          <w:color w:val="131413"/>
          <w:szCs w:val="18"/>
        </w:rPr>
      </w:pPr>
      <w:r w:rsidRPr="00E26931">
        <w:rPr>
          <w:rFonts w:eastAsia="Times New Roman" w:cs="Times New Roman"/>
          <w:i/>
          <w:color w:val="131413"/>
          <w:szCs w:val="18"/>
        </w:rPr>
        <w:lastRenderedPageBreak/>
        <w:t>Artículo 14</w:t>
      </w:r>
    </w:p>
    <w:p w14:paraId="0C9BF0F0" w14:textId="77777777" w:rsidR="00252E64" w:rsidRPr="00E26931" w:rsidRDefault="00252E64" w:rsidP="001E4522">
      <w:pPr>
        <w:keepNext/>
        <w:autoSpaceDE w:val="0"/>
        <w:autoSpaceDN w:val="0"/>
        <w:spacing w:after="240"/>
        <w:jc w:val="center"/>
        <w:outlineLvl w:val="3"/>
        <w:rPr>
          <w:rFonts w:eastAsia="Times New Roman" w:cs="Times New Roman"/>
          <w:i/>
          <w:color w:val="131413"/>
          <w:szCs w:val="18"/>
        </w:rPr>
      </w:pPr>
      <w:r w:rsidRPr="00E26931">
        <w:rPr>
          <w:rFonts w:eastAsia="Times New Roman" w:cs="Times New Roman"/>
          <w:i/>
          <w:color w:val="131413"/>
          <w:szCs w:val="18"/>
        </w:rPr>
        <w:t>Consultas y solución de diferencias</w:t>
      </w:r>
    </w:p>
    <w:p w14:paraId="5576E05B" w14:textId="11511706" w:rsidR="00252E64" w:rsidRPr="00E26931" w:rsidRDefault="00252E64" w:rsidP="00A864A1">
      <w:pPr>
        <w:numPr>
          <w:ilvl w:val="1"/>
          <w:numId w:val="37"/>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 xml:space="preserve">Las consultas y la solución de diferencias con respecto a cualquier cuestión relativa al funcionamiento del presente Acuerdo se llevarán a cabo bajo los auspicios del Órgano de Solución de Diferencias y se ajustarán </w:t>
      </w:r>
      <w:r w:rsidRPr="00E26931">
        <w:rPr>
          <w:rFonts w:eastAsia="Times New Roman" w:cs="Times New Roman"/>
          <w:i/>
          <w:color w:val="131413"/>
          <w:szCs w:val="18"/>
        </w:rPr>
        <w:t xml:space="preserve">mutatis mutandis </w:t>
      </w:r>
      <w:r w:rsidRPr="00E26931">
        <w:rPr>
          <w:rFonts w:eastAsia="Times New Roman" w:cs="Times New Roman"/>
          <w:color w:val="131413"/>
          <w:szCs w:val="18"/>
        </w:rPr>
        <w:t>a las disposiciones de los artículos XXII y XXIII del</w:t>
      </w:r>
      <w:r w:rsidR="001E4522">
        <w:rPr>
          <w:rFonts w:eastAsia="Times New Roman" w:cs="Times New Roman"/>
          <w:color w:val="131413"/>
          <w:szCs w:val="18"/>
        </w:rPr>
        <w:t> </w:t>
      </w:r>
      <w:r w:rsidRPr="00E26931">
        <w:rPr>
          <w:rFonts w:eastAsia="Times New Roman" w:cs="Times New Roman"/>
          <w:color w:val="131413"/>
          <w:szCs w:val="18"/>
        </w:rPr>
        <w:t>GATT de 1994, desarrolladas y aplicadas en virtud del Entendimiento sobre Solución de Diferencias.</w:t>
      </w:r>
    </w:p>
    <w:p w14:paraId="4C89F39A" w14:textId="77777777" w:rsidR="00252E64" w:rsidRPr="00E26931" w:rsidRDefault="00252E64" w:rsidP="00A864A1">
      <w:pPr>
        <w:numPr>
          <w:ilvl w:val="1"/>
          <w:numId w:val="37"/>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 petición de una parte en una diferencia, o por iniciativa propia, un grupo especial podrá establecer un grupo de expertos técnicos que preste asesoramiento en cuestiones de naturaleza técnica que exijan una detallada consideración por expertos.</w:t>
      </w:r>
    </w:p>
    <w:p w14:paraId="63532E0A" w14:textId="77777777" w:rsidR="00252E64" w:rsidRPr="00E26931" w:rsidRDefault="00252E64" w:rsidP="00A864A1">
      <w:pPr>
        <w:numPr>
          <w:ilvl w:val="1"/>
          <w:numId w:val="37"/>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grupos de expertos técnicos se regirán por el procedimiento del Anexo 2.</w:t>
      </w:r>
    </w:p>
    <w:p w14:paraId="091A2056" w14:textId="77777777" w:rsidR="00252E64" w:rsidRPr="00E26931" w:rsidRDefault="00252E64" w:rsidP="00A864A1">
      <w:pPr>
        <w:numPr>
          <w:ilvl w:val="1"/>
          <w:numId w:val="37"/>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Todo Miembro podrá invocar las disposiciones de solución de diferencias previstas en los párrafos anteriores cuando considere insatisfactorios los resultados obtenidos por otro Miembro en aplicación de las disposiciones de los artículos 3, 4, 7, 8 y 9 y que sus intereses comerciales se ven significativamente afectados. A este respecto, dichos resultados tendrán que ser equivalentes a los previstos, como si la institución de que se trate fuese un Miembro.</w:t>
      </w:r>
    </w:p>
    <w:p w14:paraId="4A572988" w14:textId="77777777" w:rsidR="00A41055" w:rsidRPr="00E26931" w:rsidRDefault="00A41055" w:rsidP="001674BE">
      <w:pPr>
        <w:autoSpaceDE w:val="0"/>
        <w:autoSpaceDN w:val="0"/>
        <w:spacing w:before="480" w:after="240"/>
        <w:jc w:val="center"/>
        <w:outlineLvl w:val="3"/>
        <w:rPr>
          <w:rFonts w:eastAsia="Times New Roman" w:cs="Times New Roman"/>
          <w:iCs/>
          <w:szCs w:val="18"/>
        </w:rPr>
      </w:pPr>
      <w:r w:rsidRPr="00E26931">
        <w:rPr>
          <w:rFonts w:eastAsia="Times New Roman" w:cs="Times New Roman"/>
          <w:iCs/>
          <w:szCs w:val="18"/>
        </w:rPr>
        <w:t>DISPOSICIONES FINALES</w:t>
      </w:r>
    </w:p>
    <w:p w14:paraId="0CE11948" w14:textId="77777777" w:rsidR="00252E64" w:rsidRPr="00E26931" w:rsidRDefault="00252E64" w:rsidP="00A864A1">
      <w:pPr>
        <w:autoSpaceDE w:val="0"/>
        <w:autoSpaceDN w:val="0"/>
        <w:spacing w:after="240"/>
        <w:jc w:val="center"/>
        <w:outlineLvl w:val="3"/>
        <w:rPr>
          <w:rFonts w:eastAsia="Times New Roman" w:cs="Times New Roman"/>
          <w:i/>
          <w:color w:val="131413"/>
          <w:szCs w:val="18"/>
        </w:rPr>
      </w:pPr>
      <w:r w:rsidRPr="00E26931">
        <w:rPr>
          <w:rFonts w:eastAsia="Times New Roman" w:cs="Times New Roman"/>
          <w:i/>
          <w:color w:val="131413"/>
          <w:szCs w:val="18"/>
        </w:rPr>
        <w:t>Artículo 15</w:t>
      </w:r>
    </w:p>
    <w:p w14:paraId="32938E96" w14:textId="77777777" w:rsidR="00A41055" w:rsidRPr="00E26931" w:rsidRDefault="00252E64" w:rsidP="00A864A1">
      <w:pPr>
        <w:autoSpaceDE w:val="0"/>
        <w:autoSpaceDN w:val="0"/>
        <w:spacing w:after="240"/>
        <w:jc w:val="center"/>
        <w:outlineLvl w:val="3"/>
        <w:rPr>
          <w:rFonts w:eastAsia="Times New Roman" w:cs="Times New Roman"/>
          <w:i/>
          <w:color w:val="131413"/>
          <w:szCs w:val="18"/>
        </w:rPr>
      </w:pPr>
      <w:r w:rsidRPr="00E26931">
        <w:rPr>
          <w:rFonts w:eastAsia="Times New Roman" w:cs="Times New Roman"/>
          <w:i/>
          <w:color w:val="131413"/>
          <w:szCs w:val="18"/>
        </w:rPr>
        <w:t>Disposiciones finales</w:t>
      </w:r>
    </w:p>
    <w:p w14:paraId="61D1E981" w14:textId="77777777" w:rsidR="00A41055" w:rsidRPr="00E26931" w:rsidRDefault="00A41055" w:rsidP="00A864A1">
      <w:pPr>
        <w:autoSpaceDE w:val="0"/>
        <w:autoSpaceDN w:val="0"/>
        <w:spacing w:after="240"/>
        <w:outlineLvl w:val="3"/>
        <w:rPr>
          <w:rFonts w:eastAsia="Times New Roman" w:cs="Times New Roman"/>
          <w:i/>
          <w:color w:val="131413"/>
          <w:szCs w:val="18"/>
        </w:rPr>
      </w:pPr>
      <w:r w:rsidRPr="00E26931">
        <w:rPr>
          <w:rFonts w:eastAsia="Times New Roman" w:cs="Times New Roman"/>
          <w:i/>
          <w:color w:val="131413"/>
          <w:szCs w:val="18"/>
        </w:rPr>
        <w:t>Reservas</w:t>
      </w:r>
    </w:p>
    <w:p w14:paraId="4CF7F1F9" w14:textId="77777777" w:rsidR="00252E64" w:rsidRPr="00E26931" w:rsidRDefault="00252E64" w:rsidP="00A864A1">
      <w:pPr>
        <w:numPr>
          <w:ilvl w:val="1"/>
          <w:numId w:val="3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No podrán formularse reservas respecto de ninguna de las disposiciones del presente Acuerdo sin el consentimiento de los demás Miembros.</w:t>
      </w:r>
    </w:p>
    <w:p w14:paraId="5F0ABDD0" w14:textId="77777777" w:rsidR="00252E64" w:rsidRPr="00E26931" w:rsidRDefault="00252E64" w:rsidP="00A864A1">
      <w:pPr>
        <w:autoSpaceDE w:val="0"/>
        <w:autoSpaceDN w:val="0"/>
        <w:spacing w:after="240"/>
        <w:rPr>
          <w:rFonts w:eastAsia="Times New Roman" w:cs="Times New Roman"/>
          <w:i/>
          <w:szCs w:val="18"/>
        </w:rPr>
      </w:pPr>
      <w:r w:rsidRPr="00E26931">
        <w:rPr>
          <w:rFonts w:eastAsia="Times New Roman" w:cs="Times New Roman"/>
          <w:i/>
          <w:color w:val="131413"/>
          <w:szCs w:val="18"/>
        </w:rPr>
        <w:t>Examen</w:t>
      </w:r>
    </w:p>
    <w:p w14:paraId="3A20C508" w14:textId="77777777" w:rsidR="00252E64" w:rsidRPr="00E26931" w:rsidRDefault="00252E64" w:rsidP="00A864A1">
      <w:pPr>
        <w:numPr>
          <w:ilvl w:val="1"/>
          <w:numId w:val="3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Cada Miembro informará al Comité con prontitud, después de la fecha en que entre en vigor para él el Acuerdo sobre la OMC, de las medidas que ya existan o que se adopten para la aplicación y administración del presente Acuerdo. Notificará igualmente al Comité cualquier modificación ulterior de tales medidas.</w:t>
      </w:r>
    </w:p>
    <w:p w14:paraId="16339009" w14:textId="77777777" w:rsidR="00252E64" w:rsidRPr="00E26931" w:rsidRDefault="00252E64" w:rsidP="00A864A1">
      <w:pPr>
        <w:numPr>
          <w:ilvl w:val="1"/>
          <w:numId w:val="3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El Comité examinará anualmente la aplicación y funcionamiento del presente Acuerdo habida cuenta de sus objetivos.</w:t>
      </w:r>
    </w:p>
    <w:p w14:paraId="532971B9" w14:textId="77777777" w:rsidR="00252E64" w:rsidRPr="00E26931" w:rsidRDefault="00252E64" w:rsidP="00A864A1">
      <w:pPr>
        <w:numPr>
          <w:ilvl w:val="1"/>
          <w:numId w:val="36"/>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 más tardar al final del tercer año de la fecha de entrada en vigor del Acuerdo sobre la OMC, y posteriormente con periodicidad trienal, el Comité examinará el funcionamiento y aplicación del presente Acuerdo, con inclusión de las disposiciones relativas a la transparencia, con objeto de recomendar que se ajusten los derechos y las obligaciones dimanantes del mismo cuando ello sea menester para la consecución de ventajas económicas mutuas y del equilibrio de derechos y obligaciones, sin perjuicio de lo dispuesto en el artículo 12. Teniendo en cuenta, entre otras cosas, la experiencia adquirida en la aplicación del presente Acuerdo, el Comité, cuando corresponda, presentará propuestas de enmiendas del texto del Acuerdo al Consejo del Comercio de Mercancías.</w:t>
      </w:r>
    </w:p>
    <w:p w14:paraId="77FCB8D8" w14:textId="77777777" w:rsidR="00252E64" w:rsidRPr="00E26931" w:rsidRDefault="00252E64" w:rsidP="00A864A1">
      <w:pPr>
        <w:autoSpaceDE w:val="0"/>
        <w:autoSpaceDN w:val="0"/>
        <w:spacing w:after="240"/>
        <w:rPr>
          <w:rFonts w:eastAsia="Times New Roman" w:cs="Times New Roman"/>
          <w:i/>
          <w:szCs w:val="18"/>
        </w:rPr>
      </w:pPr>
      <w:r w:rsidRPr="00E26931">
        <w:rPr>
          <w:rFonts w:eastAsia="Times New Roman" w:cs="Times New Roman"/>
          <w:i/>
          <w:color w:val="131413"/>
          <w:szCs w:val="18"/>
        </w:rPr>
        <w:t>Anexos</w:t>
      </w:r>
    </w:p>
    <w:p w14:paraId="4755FC2E" w14:textId="087F1A45" w:rsidR="008B63F8" w:rsidRPr="006D78B5" w:rsidRDefault="00252E64" w:rsidP="00A864A1">
      <w:pPr>
        <w:numPr>
          <w:ilvl w:val="1"/>
          <w:numId w:val="36"/>
        </w:numPr>
        <w:autoSpaceDE w:val="0"/>
        <w:autoSpaceDN w:val="0"/>
        <w:spacing w:after="240"/>
        <w:ind w:left="0" w:firstLine="0"/>
        <w:jc w:val="left"/>
      </w:pPr>
      <w:r w:rsidRPr="006D78B5">
        <w:rPr>
          <w:rFonts w:eastAsia="Times New Roman" w:cs="Times New Roman"/>
          <w:color w:val="131413"/>
          <w:szCs w:val="18"/>
        </w:rPr>
        <w:t>Los Anexos del presente Acuerdo constituyen parte integrante del mismo.</w:t>
      </w:r>
      <w:r w:rsidR="008B63F8" w:rsidRPr="006D78B5">
        <w:rPr>
          <w:rFonts w:eastAsia="Times New Roman" w:cs="Times New Roman"/>
          <w:b/>
          <w:bCs/>
          <w:color w:val="131413"/>
          <w:szCs w:val="18"/>
        </w:rPr>
        <w:br w:type="page"/>
      </w:r>
    </w:p>
    <w:p w14:paraId="48B84ED2" w14:textId="77777777" w:rsidR="00252E64" w:rsidRPr="00E26931" w:rsidRDefault="00252E64" w:rsidP="006D78B5">
      <w:pPr>
        <w:autoSpaceDE w:val="0"/>
        <w:autoSpaceDN w:val="0"/>
        <w:spacing w:before="480" w:after="240"/>
        <w:jc w:val="center"/>
        <w:outlineLvl w:val="3"/>
        <w:rPr>
          <w:rFonts w:eastAsia="Times New Roman" w:cs="Times New Roman"/>
          <w:szCs w:val="18"/>
        </w:rPr>
      </w:pPr>
      <w:r w:rsidRPr="00E26931">
        <w:rPr>
          <w:rFonts w:eastAsia="Times New Roman" w:cs="Times New Roman"/>
          <w:color w:val="131413"/>
          <w:szCs w:val="18"/>
        </w:rPr>
        <w:lastRenderedPageBreak/>
        <w:t>ANEXO 1</w:t>
      </w:r>
    </w:p>
    <w:p w14:paraId="61B4AD85" w14:textId="0D5F9BE1" w:rsidR="00252E64" w:rsidRPr="00E26931" w:rsidRDefault="00252E64" w:rsidP="00A864A1">
      <w:pPr>
        <w:autoSpaceDE w:val="0"/>
        <w:autoSpaceDN w:val="0"/>
        <w:spacing w:after="240"/>
        <w:jc w:val="center"/>
        <w:outlineLvl w:val="3"/>
        <w:rPr>
          <w:rFonts w:eastAsia="Times New Roman" w:cs="Times New Roman"/>
          <w:szCs w:val="18"/>
        </w:rPr>
      </w:pPr>
      <w:r w:rsidRPr="00E26931">
        <w:rPr>
          <w:rFonts w:eastAsia="Times New Roman" w:cs="Times New Roman"/>
          <w:color w:val="131413"/>
          <w:szCs w:val="18"/>
        </w:rPr>
        <w:t>TÉRMINOS Y SU DEFINICIÓN A LOS EFECTOS</w:t>
      </w:r>
      <w:r w:rsidR="006B74FF" w:rsidRPr="00E26931">
        <w:rPr>
          <w:rFonts w:eastAsia="Times New Roman" w:cs="Times New Roman"/>
          <w:color w:val="131413"/>
          <w:szCs w:val="18"/>
        </w:rPr>
        <w:br/>
      </w:r>
      <w:r w:rsidRPr="00E26931">
        <w:rPr>
          <w:rFonts w:eastAsia="Times New Roman" w:cs="Times New Roman"/>
          <w:color w:val="131413"/>
          <w:szCs w:val="18"/>
        </w:rPr>
        <w:t>DEL PRESENTE ACUERDO</w:t>
      </w:r>
    </w:p>
    <w:p w14:paraId="6B71C259"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Cuando se utilicen en el presente Acuerdo, los términos presentados en la sexta edición de la Guía</w:t>
      </w:r>
      <w:r w:rsidR="001414DD" w:rsidRPr="00E26931">
        <w:rPr>
          <w:rFonts w:eastAsia="Times New Roman" w:cs="Times New Roman"/>
          <w:color w:val="131413"/>
          <w:szCs w:val="18"/>
        </w:rPr>
        <w:t> </w:t>
      </w:r>
      <w:r w:rsidRPr="00E26931">
        <w:rPr>
          <w:rFonts w:eastAsia="Times New Roman" w:cs="Times New Roman"/>
          <w:color w:val="131413"/>
          <w:szCs w:val="18"/>
        </w:rPr>
        <w:t>2: de la ISO/CEI, de 1991, sobre términos generales y sus definiciones en relación con la normalización y las actividades conexas tendrán el mismo significado que se les da en las definiciones recogidas en la mencionada Guía teniendo en cuenta que los servicios están excluidos del alcance del presente Acuerdo.</w:t>
      </w:r>
    </w:p>
    <w:p w14:paraId="0639B3EA"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Sin embargo, a los efectos del presente Acuerdo serán de aplicación las definiciones siguientes:</w:t>
      </w:r>
    </w:p>
    <w:p w14:paraId="6EB7DAEB"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Reglamento técnico</w:t>
      </w:r>
    </w:p>
    <w:p w14:paraId="1E564B14"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Documento en el que se establecen las características de un producto o los procesos y métodos de producción con ellas relacionados, con inclusión de las disposiciones administrativas aplicables, y cuya observancia es obligatoria. También puede incluir prescripciones en materia de terminología, símbolos, embalaje, marcado o etiquetado aplicables a un producto, proceso o método de producción, o tratar exclusivamente de ellas.</w:t>
      </w:r>
    </w:p>
    <w:p w14:paraId="6F8B12B5" w14:textId="77777777" w:rsidR="00252E64" w:rsidRPr="00E26931" w:rsidRDefault="001414DD" w:rsidP="00A864A1">
      <w:pPr>
        <w:autoSpaceDE w:val="0"/>
        <w:autoSpaceDN w:val="0"/>
        <w:spacing w:after="240"/>
        <w:rPr>
          <w:rFonts w:eastAsia="Times New Roman" w:cs="Times New Roman"/>
          <w:i/>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Nota explicativa</w:t>
      </w:r>
    </w:p>
    <w:p w14:paraId="45599ECB" w14:textId="77777777" w:rsidR="00252E64" w:rsidRPr="00E26931" w:rsidRDefault="00252E64" w:rsidP="00A864A1">
      <w:pPr>
        <w:autoSpaceDE w:val="0"/>
        <w:autoSpaceDN w:val="0"/>
        <w:spacing w:after="240"/>
        <w:ind w:left="567"/>
        <w:rPr>
          <w:rFonts w:eastAsia="Times New Roman" w:cs="Times New Roman"/>
          <w:szCs w:val="18"/>
        </w:rPr>
      </w:pPr>
      <w:r w:rsidRPr="00E26931">
        <w:rPr>
          <w:rFonts w:eastAsia="Times New Roman" w:cs="Times New Roman"/>
          <w:color w:val="131413"/>
          <w:szCs w:val="18"/>
        </w:rPr>
        <w:t>La definición que figura en la Guía 2 de la ISO/CEI no es independiente, pues está basada en el sistema denominado de los "bloques de construcción".</w:t>
      </w:r>
    </w:p>
    <w:p w14:paraId="1A2DA119"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Norma</w:t>
      </w:r>
    </w:p>
    <w:p w14:paraId="6389FD45"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Documento aprobado por una institución reconocida, que prevé, para un uso común y repetido, reglas, directrices o características para los productos o los procesos y métodos de producción conexos, y cuya observancia no es obligatoria. También puede incluir prescripciones en materia de terminología, símbolos, embalaje, marcado o etiquetado aplicables a un producto, proceso o método de producción, o tratar exclusivamente de ellas.</w:t>
      </w:r>
    </w:p>
    <w:p w14:paraId="3FC61AF4" w14:textId="77777777" w:rsidR="00252E64" w:rsidRPr="00E26931" w:rsidRDefault="001414DD" w:rsidP="00A864A1">
      <w:pPr>
        <w:autoSpaceDE w:val="0"/>
        <w:autoSpaceDN w:val="0"/>
        <w:spacing w:after="240"/>
        <w:rPr>
          <w:rFonts w:eastAsia="Times New Roman" w:cs="Times New Roman"/>
          <w:i/>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Nota explicativa</w:t>
      </w:r>
    </w:p>
    <w:p w14:paraId="0D70F681" w14:textId="0E785F92" w:rsidR="00252E64" w:rsidRPr="00E26931" w:rsidRDefault="00252E64" w:rsidP="00A864A1">
      <w:pPr>
        <w:autoSpaceDE w:val="0"/>
        <w:autoSpaceDN w:val="0"/>
        <w:spacing w:after="240"/>
        <w:ind w:left="567"/>
        <w:rPr>
          <w:rFonts w:eastAsia="Times New Roman" w:cs="Times New Roman"/>
          <w:szCs w:val="18"/>
        </w:rPr>
      </w:pPr>
      <w:r w:rsidRPr="00E26931">
        <w:rPr>
          <w:rFonts w:eastAsia="Times New Roman" w:cs="Times New Roman"/>
          <w:color w:val="131413"/>
          <w:szCs w:val="18"/>
        </w:rPr>
        <w:t>Los términos definidos en la Guía 2 de la ISO/CEI abarcan los productos, procesos y servicios. El presente Acuerdo sólo trata de los reglamentos técnicos, normas y procedimientos para la evaluación de la conformidad relacionados con los productos o los procesos y métodos de producción. Las normas definidas en la Guía 2 de la ISO/CEI pueden ser obligatorias o de aplicación voluntaria. A los efectos del presente Acuerdo, las normas se definen como documentos de aplicación voluntaria, y los reglamentos técnicos, como documentos obligatorios. Las normas elaboradas por la comunidad internacional de normalización se basan en el consenso.</w:t>
      </w:r>
      <w:r w:rsidR="006B74FF" w:rsidRPr="00E26931">
        <w:rPr>
          <w:rFonts w:eastAsia="Times New Roman" w:cs="Times New Roman"/>
          <w:color w:val="131413"/>
          <w:szCs w:val="18"/>
        </w:rPr>
        <w:t xml:space="preserve"> </w:t>
      </w:r>
      <w:r w:rsidRPr="00E26931">
        <w:rPr>
          <w:rFonts w:eastAsia="Times New Roman" w:cs="Times New Roman"/>
          <w:color w:val="131413"/>
          <w:szCs w:val="18"/>
        </w:rPr>
        <w:t>El presente Acuerdo abarca asimismo documentos que no están basados en un consenso.</w:t>
      </w:r>
    </w:p>
    <w:p w14:paraId="41AD5FF8"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Procedimiento para la evaluación de la conformidad</w:t>
      </w:r>
    </w:p>
    <w:p w14:paraId="33479445"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Todo procedimiento utilizado, directa o indirectamente, para determinar que se cumplen las prescripciones pertinentes de los reglamentos técnicos o normas.</w:t>
      </w:r>
    </w:p>
    <w:p w14:paraId="5C0FF97A" w14:textId="77777777" w:rsidR="00252E64" w:rsidRPr="00E26931" w:rsidRDefault="001414DD" w:rsidP="00A864A1">
      <w:pPr>
        <w:autoSpaceDE w:val="0"/>
        <w:autoSpaceDN w:val="0"/>
        <w:spacing w:after="240"/>
        <w:rPr>
          <w:rFonts w:eastAsia="Times New Roman" w:cs="Times New Roman"/>
          <w:i/>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Nota explicativa</w:t>
      </w:r>
    </w:p>
    <w:p w14:paraId="6BE29210" w14:textId="77777777" w:rsidR="00252E64" w:rsidRPr="00E26931" w:rsidRDefault="00252E64" w:rsidP="00A864A1">
      <w:pPr>
        <w:autoSpaceDE w:val="0"/>
        <w:autoSpaceDN w:val="0"/>
        <w:spacing w:after="240"/>
        <w:ind w:left="567"/>
        <w:rPr>
          <w:rFonts w:eastAsia="Times New Roman" w:cs="Times New Roman"/>
          <w:szCs w:val="18"/>
        </w:rPr>
      </w:pPr>
      <w:r w:rsidRPr="00E26931">
        <w:rPr>
          <w:rFonts w:eastAsia="Times New Roman" w:cs="Times New Roman"/>
          <w:color w:val="131413"/>
          <w:szCs w:val="18"/>
        </w:rPr>
        <w:t>Los procedimientos para la evaluación de la conformidad comprenden, entre otros, los de muestreo, prueba e inspección; evaluación, verificación y garantía de la conformidad; registro, acreditación y aprobación, separadamente o en distintas combinaciones.</w:t>
      </w:r>
    </w:p>
    <w:p w14:paraId="6E0A5A5C" w14:textId="77777777" w:rsidR="00252E64" w:rsidRPr="00835662" w:rsidRDefault="00252E64" w:rsidP="00A864A1">
      <w:pPr>
        <w:keepNext/>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lastRenderedPageBreak/>
        <w:t>Institución o sistema internacional</w:t>
      </w:r>
    </w:p>
    <w:p w14:paraId="1E3960A7"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Institución o sistema abierto a las instituciones competentes de por lo menos todos los Miembros.</w:t>
      </w:r>
    </w:p>
    <w:p w14:paraId="1A3DA96F"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Institución o sistema regional</w:t>
      </w:r>
    </w:p>
    <w:p w14:paraId="4A99B4BB"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Institución o sistema abierto sólo a las instituciones competentes de algunos de los Miembros.</w:t>
      </w:r>
    </w:p>
    <w:p w14:paraId="05B746A0"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Institución del gobierno central</w:t>
      </w:r>
    </w:p>
    <w:p w14:paraId="631D0FAF"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El gobierno central, sus ministerios o departamentos y cualquier otra institución sometida al control del gobierno central en lo que atañe a la actividad de que se trata.</w:t>
      </w:r>
    </w:p>
    <w:p w14:paraId="6CEFA92D" w14:textId="77777777" w:rsidR="00252E64" w:rsidRPr="00E26931" w:rsidRDefault="001414DD" w:rsidP="00A864A1">
      <w:pPr>
        <w:autoSpaceDE w:val="0"/>
        <w:autoSpaceDN w:val="0"/>
        <w:spacing w:after="240"/>
        <w:rPr>
          <w:rFonts w:eastAsia="Times New Roman" w:cs="Times New Roman"/>
          <w:i/>
          <w:szCs w:val="18"/>
        </w:rPr>
      </w:pPr>
      <w:r w:rsidRPr="00E26931">
        <w:rPr>
          <w:rFonts w:eastAsia="Times New Roman" w:cs="Times New Roman"/>
          <w:i/>
          <w:color w:val="131413"/>
          <w:szCs w:val="18"/>
        </w:rPr>
        <w:tab/>
      </w:r>
      <w:r w:rsidR="00252E64" w:rsidRPr="00E26931">
        <w:rPr>
          <w:rFonts w:eastAsia="Times New Roman" w:cs="Times New Roman"/>
          <w:i/>
          <w:color w:val="131413"/>
          <w:szCs w:val="18"/>
        </w:rPr>
        <w:t>Nota explicativa</w:t>
      </w:r>
    </w:p>
    <w:p w14:paraId="413A262C" w14:textId="77777777" w:rsidR="00252E64" w:rsidRPr="00E26931" w:rsidRDefault="00252E64" w:rsidP="00A864A1">
      <w:pPr>
        <w:autoSpaceDE w:val="0"/>
        <w:autoSpaceDN w:val="0"/>
        <w:spacing w:after="240"/>
        <w:ind w:left="567"/>
        <w:rPr>
          <w:rFonts w:eastAsia="Times New Roman" w:cs="Times New Roman"/>
          <w:szCs w:val="18"/>
        </w:rPr>
      </w:pPr>
      <w:r w:rsidRPr="00E26931">
        <w:rPr>
          <w:rFonts w:eastAsia="Times New Roman" w:cs="Times New Roman"/>
          <w:color w:val="131413"/>
          <w:szCs w:val="18"/>
        </w:rPr>
        <w:t>En el caso de las Comunidades Europeas son aplicables las disposiciones que regulan las instituciones de los gobiernos centrales. Sin embargo, podrán establecerse en las Comunidades Europeas instituciones regionales o sistemas regionales de evaluación de la conformidad, en cuyo caso quedarían sujetos a las disposiciones del presente Acuerdo en materia de instituciones regionales o sistemas regionales de evaluación de la conformidad.</w:t>
      </w:r>
    </w:p>
    <w:p w14:paraId="6ED74584"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Institución pública local</w:t>
      </w:r>
    </w:p>
    <w:p w14:paraId="5392C97F" w14:textId="77777777"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Poderes públicos distintos del gobierno central (por ejemplo, de los Estados, provincias, Länder, cantones, municipios, etc.), sus ministerios o departamentos, o cualquier otra institución sometida al control de tales poderes en lo que atañe a la actividad de que se trata.</w:t>
      </w:r>
    </w:p>
    <w:p w14:paraId="4148E062" w14:textId="77777777" w:rsidR="00252E64" w:rsidRPr="00835662" w:rsidRDefault="00252E64" w:rsidP="00A864A1">
      <w:pPr>
        <w:numPr>
          <w:ilvl w:val="0"/>
          <w:numId w:val="35"/>
        </w:numPr>
        <w:autoSpaceDE w:val="0"/>
        <w:autoSpaceDN w:val="0"/>
        <w:spacing w:after="240"/>
        <w:ind w:left="0" w:firstLine="0"/>
        <w:jc w:val="left"/>
        <w:rPr>
          <w:rFonts w:eastAsia="Times New Roman" w:cs="Times New Roman"/>
          <w:iCs/>
          <w:szCs w:val="18"/>
        </w:rPr>
      </w:pPr>
      <w:r w:rsidRPr="00E26931">
        <w:rPr>
          <w:rFonts w:eastAsia="Times New Roman" w:cs="Times New Roman"/>
          <w:i/>
          <w:color w:val="131413"/>
          <w:szCs w:val="18"/>
        </w:rPr>
        <w:t>Institución no gubernamental</w:t>
      </w:r>
    </w:p>
    <w:p w14:paraId="23D4E1E0" w14:textId="77777777" w:rsidR="001414DD" w:rsidRPr="00E26931" w:rsidRDefault="00252E64" w:rsidP="00A864A1">
      <w:pPr>
        <w:autoSpaceDE w:val="0"/>
        <w:autoSpaceDN w:val="0"/>
        <w:spacing w:after="240"/>
        <w:ind w:firstLine="567"/>
        <w:rPr>
          <w:rFonts w:eastAsia="Times New Roman" w:cs="Times New Roman"/>
          <w:color w:val="131413"/>
          <w:szCs w:val="18"/>
        </w:rPr>
      </w:pPr>
      <w:r w:rsidRPr="00E26931">
        <w:rPr>
          <w:rFonts w:eastAsia="Times New Roman" w:cs="Times New Roman"/>
          <w:color w:val="131413"/>
          <w:szCs w:val="18"/>
        </w:rPr>
        <w:t>Institución que no sea del gobierno central ni institución pública local, con inclusión de cualquier institución no gubernamental legalmente habilitada para hacer respetar un reglamento técnico.</w:t>
      </w:r>
    </w:p>
    <w:p w14:paraId="38EA12C9" w14:textId="77777777" w:rsidR="001414DD" w:rsidRPr="00E26931" w:rsidRDefault="001414DD" w:rsidP="00A864A1">
      <w:pPr>
        <w:spacing w:after="240"/>
        <w:jc w:val="left"/>
        <w:rPr>
          <w:rFonts w:eastAsia="Times New Roman" w:cs="Times New Roman"/>
          <w:color w:val="131413"/>
          <w:szCs w:val="18"/>
        </w:rPr>
      </w:pPr>
      <w:r w:rsidRPr="00E26931">
        <w:rPr>
          <w:rFonts w:eastAsia="Times New Roman" w:cs="Times New Roman"/>
          <w:color w:val="131413"/>
          <w:szCs w:val="18"/>
        </w:rPr>
        <w:br w:type="page"/>
      </w:r>
    </w:p>
    <w:p w14:paraId="06DF7CA5" w14:textId="77777777" w:rsidR="00252E64" w:rsidRPr="00E26931" w:rsidRDefault="00252E64" w:rsidP="006D78B5">
      <w:pPr>
        <w:autoSpaceDE w:val="0"/>
        <w:autoSpaceDN w:val="0"/>
        <w:spacing w:before="480" w:after="240"/>
        <w:jc w:val="center"/>
        <w:outlineLvl w:val="2"/>
        <w:rPr>
          <w:rFonts w:eastAsia="Times New Roman" w:cs="Times New Roman"/>
          <w:szCs w:val="18"/>
        </w:rPr>
      </w:pPr>
      <w:r w:rsidRPr="00E26931">
        <w:rPr>
          <w:rFonts w:eastAsia="Times New Roman" w:cs="Times New Roman"/>
          <w:color w:val="131413"/>
          <w:szCs w:val="18"/>
        </w:rPr>
        <w:lastRenderedPageBreak/>
        <w:t>ANEXO 2</w:t>
      </w:r>
    </w:p>
    <w:p w14:paraId="46BD6E54" w14:textId="77777777" w:rsidR="00252E64" w:rsidRPr="00E26931" w:rsidRDefault="00252E64" w:rsidP="00A864A1">
      <w:pPr>
        <w:autoSpaceDE w:val="0"/>
        <w:autoSpaceDN w:val="0"/>
        <w:spacing w:after="240"/>
        <w:jc w:val="center"/>
        <w:outlineLvl w:val="2"/>
        <w:rPr>
          <w:rFonts w:eastAsia="Times New Roman" w:cs="Times New Roman"/>
          <w:szCs w:val="18"/>
        </w:rPr>
      </w:pPr>
      <w:r w:rsidRPr="00E26931">
        <w:rPr>
          <w:rFonts w:eastAsia="Times New Roman" w:cs="Times New Roman"/>
          <w:color w:val="131413"/>
          <w:szCs w:val="18"/>
        </w:rPr>
        <w:t>GRUPOS DE EXPERTOS TÉCNICOS</w:t>
      </w:r>
    </w:p>
    <w:p w14:paraId="6C3E62AE" w14:textId="77777777" w:rsidR="00252E64" w:rsidRPr="00E26931" w:rsidRDefault="00252E64" w:rsidP="00835662">
      <w:pPr>
        <w:autoSpaceDE w:val="0"/>
        <w:autoSpaceDN w:val="0"/>
        <w:spacing w:after="240"/>
        <w:ind w:firstLine="567"/>
        <w:rPr>
          <w:rFonts w:eastAsia="Times New Roman" w:cs="Times New Roman"/>
          <w:szCs w:val="18"/>
        </w:rPr>
      </w:pPr>
      <w:r w:rsidRPr="00E26931">
        <w:rPr>
          <w:rFonts w:eastAsia="Times New Roman" w:cs="Times New Roman"/>
          <w:color w:val="131413"/>
          <w:szCs w:val="18"/>
        </w:rPr>
        <w:t>El siguiente procedimiento será de aplicación a los grupos de expertos técnicos que se establezcan de conformidad con las disposiciones del artículo 14.</w:t>
      </w:r>
    </w:p>
    <w:p w14:paraId="305CA912" w14:textId="77777777" w:rsidR="00252E64" w:rsidRPr="00C263C1" w:rsidRDefault="00252E64" w:rsidP="00A864A1">
      <w:pPr>
        <w:numPr>
          <w:ilvl w:val="0"/>
          <w:numId w:val="3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 xml:space="preserve">Los grupos de expertos técnicos están bajo la </w:t>
      </w:r>
      <w:r w:rsidRPr="00C263C1">
        <w:rPr>
          <w:rFonts w:eastAsia="Times New Roman" w:cs="Times New Roman"/>
          <w:color w:val="131413"/>
          <w:szCs w:val="18"/>
        </w:rPr>
        <w:t>autoridad del grupo especial. Este establecerá el mandato y los detalles del procedimiento de trabajo de los grupos de expertos técnicos, que le rendirán informe.</w:t>
      </w:r>
    </w:p>
    <w:p w14:paraId="6DCED4C1" w14:textId="77777777" w:rsidR="00252E64" w:rsidRPr="00C263C1" w:rsidRDefault="00252E64" w:rsidP="00A864A1">
      <w:pPr>
        <w:numPr>
          <w:ilvl w:val="0"/>
          <w:numId w:val="34"/>
        </w:numPr>
        <w:autoSpaceDE w:val="0"/>
        <w:autoSpaceDN w:val="0"/>
        <w:spacing w:after="240"/>
        <w:ind w:left="0" w:firstLine="0"/>
        <w:rPr>
          <w:rFonts w:eastAsia="Times New Roman" w:cs="Times New Roman"/>
          <w:szCs w:val="18"/>
        </w:rPr>
      </w:pPr>
      <w:r w:rsidRPr="00C263C1">
        <w:rPr>
          <w:rFonts w:eastAsia="Times New Roman" w:cs="Times New Roman"/>
          <w:color w:val="131413"/>
          <w:szCs w:val="18"/>
        </w:rPr>
        <w:t>Solamente podrán formar parte de los grupos de expertos técnicos solamente personas profesionalmente acreditadas y con experiencia en la esfera de que se trate.</w:t>
      </w:r>
    </w:p>
    <w:p w14:paraId="32C4D950" w14:textId="77777777" w:rsidR="00252E64" w:rsidRPr="00E26931" w:rsidRDefault="00252E64" w:rsidP="00A864A1">
      <w:pPr>
        <w:numPr>
          <w:ilvl w:val="0"/>
          <w:numId w:val="3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nacionales de los países que sean partes en la diferencia no podrán ser miembros de un grupo de expertos técnicos sin el asentimiento conjunto de las partes en la diferencia, salvo en circunstancias excepcionales en que el grupo especial considere imposible satisfacer de otro modo la necesidad de conocimientos científicos especializados. No podrán formar parte de un grupo de expertos técnicos los funcionarios gubernamentales de las partes en la diferencia. Los miembros de un grupo de expertos técnicos actuarán a título personal y no como representantes de un gobierno o de una organización. Por tanto, ni los gobiernos ni las organizaciones podrán darles instrucciones con respecto a los asuntos sometidos al grupo de expertos técnicos.</w:t>
      </w:r>
    </w:p>
    <w:p w14:paraId="44D1ACCD" w14:textId="77777777" w:rsidR="00252E64" w:rsidRPr="00E26931" w:rsidRDefault="00252E64" w:rsidP="00A864A1">
      <w:pPr>
        <w:numPr>
          <w:ilvl w:val="0"/>
          <w:numId w:val="3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Los grupos de expertos técnicos podrán dirigirse a cualquier fuente que estimen conveniente para hacer consultas y recabar información y asesoramiento técnico. Antes de recabar dicha información o asesoramiento de una fuente sometida a la jurisdicción de un Miembro, el grupo de expertos lo notificará al gobierno de ese Miembro. Los Miembros darán una respuesta pronta y completa a toda solicitud que les dirija un grupo de expertos técnicos para obtener la información que considere necesaria y pertinente.</w:t>
      </w:r>
    </w:p>
    <w:p w14:paraId="3ADF0D0A" w14:textId="77777777" w:rsidR="00252E64" w:rsidRPr="00E26931" w:rsidRDefault="00252E64" w:rsidP="00A864A1">
      <w:pPr>
        <w:numPr>
          <w:ilvl w:val="0"/>
          <w:numId w:val="3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Las partes en la diferencia tendrán acceso a toda la información pertinente que se haya facilitado al grupo de expertos técnicos, a menos que sea de carácter confidencial. La información confidencial que se proporcione al grupo de expertos técnicos no será revelada sin la autorización formal del gobierno, organización o persona que la haya facilitado. Cuando se solicite dicha información del grupo de expertos técnicos y éste no sea autorizado a comunicarla, el gobierno, organización o persona que haya facilitado la información suministrará un resumen no confidencial de ella.</w:t>
      </w:r>
    </w:p>
    <w:p w14:paraId="1A0406EF" w14:textId="77777777" w:rsidR="00252E64" w:rsidRPr="00E26931" w:rsidRDefault="00252E64" w:rsidP="00A864A1">
      <w:pPr>
        <w:numPr>
          <w:ilvl w:val="0"/>
          <w:numId w:val="34"/>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El grupo de expertos técnicos presentará un proyecto de informe a los Miembros interesados para que hagan sus observaciones , y las tendrá en cuenta, según proceda, en el informe final, que también se distribuirá a dichos Miembros cuando sea sometido al grupo especial.</w:t>
      </w:r>
    </w:p>
    <w:p w14:paraId="278AD18C" w14:textId="77777777" w:rsidR="004041A6" w:rsidRPr="00E26931" w:rsidRDefault="004041A6" w:rsidP="00A864A1">
      <w:pPr>
        <w:spacing w:after="240"/>
        <w:jc w:val="left"/>
        <w:rPr>
          <w:rFonts w:eastAsia="Times New Roman" w:cs="Times New Roman"/>
          <w:color w:val="131413"/>
          <w:szCs w:val="18"/>
        </w:rPr>
      </w:pPr>
      <w:r w:rsidRPr="00E26931">
        <w:rPr>
          <w:rFonts w:eastAsia="Times New Roman" w:cs="Times New Roman"/>
          <w:color w:val="131413"/>
          <w:szCs w:val="18"/>
        </w:rPr>
        <w:br w:type="page"/>
      </w:r>
    </w:p>
    <w:p w14:paraId="1395AFB8" w14:textId="77777777" w:rsidR="00252E64" w:rsidRPr="00E26931" w:rsidRDefault="00252E64" w:rsidP="006D78B5">
      <w:pPr>
        <w:autoSpaceDE w:val="0"/>
        <w:autoSpaceDN w:val="0"/>
        <w:spacing w:before="480" w:after="240"/>
        <w:jc w:val="center"/>
        <w:outlineLvl w:val="2"/>
        <w:rPr>
          <w:rFonts w:eastAsia="Times New Roman" w:cs="Times New Roman"/>
          <w:color w:val="131413"/>
          <w:szCs w:val="18"/>
        </w:rPr>
      </w:pPr>
      <w:r w:rsidRPr="00E26931">
        <w:rPr>
          <w:rFonts w:eastAsia="Times New Roman" w:cs="Times New Roman"/>
          <w:color w:val="131413"/>
          <w:szCs w:val="18"/>
        </w:rPr>
        <w:lastRenderedPageBreak/>
        <w:t>ANEXO 3</w:t>
      </w:r>
    </w:p>
    <w:p w14:paraId="7082E0BC" w14:textId="77777777" w:rsidR="00252E64" w:rsidRPr="00E26931" w:rsidRDefault="00252E64" w:rsidP="00A864A1">
      <w:pPr>
        <w:autoSpaceDE w:val="0"/>
        <w:autoSpaceDN w:val="0"/>
        <w:spacing w:after="240"/>
        <w:jc w:val="center"/>
        <w:outlineLvl w:val="2"/>
        <w:rPr>
          <w:rFonts w:eastAsia="Times New Roman" w:cs="Times New Roman"/>
          <w:color w:val="131413"/>
          <w:szCs w:val="18"/>
        </w:rPr>
      </w:pPr>
      <w:r w:rsidRPr="00E26931">
        <w:rPr>
          <w:rFonts w:eastAsia="Times New Roman" w:cs="Times New Roman"/>
          <w:color w:val="131413"/>
          <w:szCs w:val="18"/>
        </w:rPr>
        <w:t>CÓDIGO DE BUENA CONDUCTA PARA LA ELABORACIÓN,</w:t>
      </w:r>
      <w:r w:rsidR="00E14308" w:rsidRPr="00E26931">
        <w:rPr>
          <w:rFonts w:eastAsia="Times New Roman" w:cs="Times New Roman"/>
          <w:color w:val="131413"/>
          <w:szCs w:val="18"/>
        </w:rPr>
        <w:br/>
      </w:r>
      <w:r w:rsidRPr="00E26931">
        <w:rPr>
          <w:rFonts w:eastAsia="Times New Roman" w:cs="Times New Roman"/>
          <w:color w:val="131413"/>
          <w:szCs w:val="18"/>
        </w:rPr>
        <w:t>ADOPCIÓN Y APLICACIÓN DE NORMAS</w:t>
      </w:r>
    </w:p>
    <w:p w14:paraId="67F483A8" w14:textId="77777777" w:rsidR="00252E64" w:rsidRPr="00E26931" w:rsidRDefault="00252E64" w:rsidP="00A864A1">
      <w:pPr>
        <w:autoSpaceDE w:val="0"/>
        <w:autoSpaceDN w:val="0"/>
        <w:spacing w:after="240"/>
        <w:rPr>
          <w:rFonts w:eastAsia="Times New Roman" w:cs="Times New Roman"/>
          <w:i/>
          <w:szCs w:val="18"/>
        </w:rPr>
      </w:pPr>
      <w:r w:rsidRPr="00E26931">
        <w:rPr>
          <w:rFonts w:eastAsia="Times New Roman" w:cs="Times New Roman"/>
          <w:i/>
          <w:color w:val="131413"/>
          <w:szCs w:val="18"/>
        </w:rPr>
        <w:t>Disposiciones generales</w:t>
      </w:r>
    </w:p>
    <w:p w14:paraId="2A6BAB82"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 los efectos del presente Código, se aplicarán las definiciones del Anexo 1 del presente Acuerdo.</w:t>
      </w:r>
    </w:p>
    <w:p w14:paraId="7F9F6E25"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El presente Código está abierto a la aceptación por todas las instituciones con actividades de normalización del territorio de los Miembros de la OMC, tanto si se trata de instituciones del gobierno central como de instituciones públicas locales o instituciones no gubernamentales; por todas las instituciones regionales gubernamentales con actividades de normalización, de las que uno o más miembros sean Miembros de la OMC; y por todas las instituciones regionales no gubernamentales con actividades de normalización, de las que uno o más miembros estén situados en el territorio de un Miembro de la OMC (denominadas en el presente Código colectivamente "instituciones con actividades de normalización" e individualmente "la institución con actividades de normalización").</w:t>
      </w:r>
    </w:p>
    <w:p w14:paraId="22516C11" w14:textId="12562FDA"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Las instituciones con actividades de normalización que hayan aceptado o denunciado el presente Código notificarán este hecho al Centro de Información de la ISO/CEI en Ginebra. En la notificación se incluirá el nombre y dirección de la institución en cuestión y el ámbito de sus actividades actuales y previstas de normalización. La notificación podrá enviarse bien directamente al Centro de Información de la ISO/CEI, bien por conducto de la institución nacional miembro de la</w:t>
      </w:r>
      <w:r w:rsidR="00996305">
        <w:rPr>
          <w:rFonts w:eastAsia="Times New Roman" w:cs="Times New Roman"/>
          <w:color w:val="131413"/>
          <w:szCs w:val="18"/>
        </w:rPr>
        <w:t> </w:t>
      </w:r>
      <w:r w:rsidRPr="00E26931">
        <w:rPr>
          <w:rFonts w:eastAsia="Times New Roman" w:cs="Times New Roman"/>
          <w:color w:val="131413"/>
          <w:szCs w:val="18"/>
        </w:rPr>
        <w:t>ISO/CEI o bien, preferentemente, por conducto del miembro nacional pertinente o de una filial internacional de la ISONET, según proceda.</w:t>
      </w:r>
    </w:p>
    <w:p w14:paraId="28AB8DF0" w14:textId="77777777" w:rsidR="00252E64" w:rsidRPr="00E26931" w:rsidRDefault="00B32E54" w:rsidP="006D78B5">
      <w:pPr>
        <w:autoSpaceDE w:val="0"/>
        <w:autoSpaceDN w:val="0"/>
        <w:spacing w:before="480" w:after="240"/>
        <w:jc w:val="center"/>
        <w:rPr>
          <w:rFonts w:eastAsia="Times New Roman" w:cs="Times New Roman"/>
          <w:iCs/>
          <w:szCs w:val="18"/>
        </w:rPr>
      </w:pPr>
      <w:r w:rsidRPr="00E26931">
        <w:rPr>
          <w:rFonts w:eastAsia="Times New Roman" w:cs="Times New Roman"/>
          <w:iCs/>
          <w:color w:val="131413"/>
          <w:szCs w:val="18"/>
        </w:rPr>
        <w:t>DISPOSICIONES SUSTANTIVAS</w:t>
      </w:r>
    </w:p>
    <w:p w14:paraId="5870E7C8"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relación con las normas, la institución con actividades de normalización otorgará a los productos originarios del territorio de cualquier otro Miembro de la OMC un trato no menos favorable que el otorgado a los productos similares de origen nacional y a los productos similares originarios de cualquier otro país.</w:t>
      </w:r>
    </w:p>
    <w:p w14:paraId="7E78DB50"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La institución con actividades de normalización se asegurará de que no se preparen, adopten o apliquen normas que tengan por objeto o efecto crear obstáculos innecesarios al comercio internacional.</w:t>
      </w:r>
    </w:p>
    <w:p w14:paraId="7D828F55"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Cuando existan normas internacionales o sea inminente su formulación definitiva, la institución con actividades de normalización utilizará esas normas, o sus elementos pertinentes, como base de las normas que elabore salvo en el caso de que esas normas internacionales o esos elementos no sean eficaces o apropiados, por ejemplo, por ofrecer un nivel insuficiente de protección o por factores climáticos u otros factores geográficos fundamentales, o por problemas tecnológicos fundamentales.</w:t>
      </w:r>
    </w:p>
    <w:p w14:paraId="14C1B913"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Con el fin de armonizar las normas en el mayor grado posible, la institución con actividades de normalización participará plena y adecuadamente, dentro de los límites de sus recursos, en la elaboración, por las instituciones internacionales</w:t>
      </w:r>
      <w:r w:rsidR="00B32E54" w:rsidRPr="00E26931">
        <w:rPr>
          <w:rFonts w:eastAsia="Times New Roman" w:cs="Times New Roman"/>
          <w:color w:val="131413"/>
          <w:szCs w:val="18"/>
        </w:rPr>
        <w:t xml:space="preserve"> </w:t>
      </w:r>
      <w:r w:rsidRPr="00E26931">
        <w:rPr>
          <w:rFonts w:eastAsia="Times New Roman" w:cs="Times New Roman"/>
          <w:color w:val="131413"/>
          <w:szCs w:val="18"/>
        </w:rPr>
        <w:t>con actividades de normalización competentes, de normas internacionales referentes a la materia para la que haya adoptado, o prevea adoptar, normas. La participación de las instituciones con actividades de normalización existentes en el territorio de un Miembro en una actividad internacional de normalización determinada deberá tener lugar, siempre que sea posible, a través de una delegación que represente a todas las instituciones con actividades de normalización en el territorio que hayan adoptado, o prevean adoptar, normas para la materia a la que se refiere la actividad internacional de normalización.</w:t>
      </w:r>
    </w:p>
    <w:p w14:paraId="66E5D7DB"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 xml:space="preserve">La institución con actividades de normalización existente en el territorio de un Miembro procurará por todos los medios evitar la duplicación o repetición del trabajo realizado por otras instituciones con actividades de normalización dentro del territorio nacional o del trabajo de las instituciones internacionales o regionales de normalización competentes. Esas instituciones harán también todo lo posible por lograr un consenso nacional sobre las normas que elaboren. Asimismo, </w:t>
      </w:r>
      <w:r w:rsidRPr="00E26931">
        <w:rPr>
          <w:rFonts w:eastAsia="Times New Roman" w:cs="Times New Roman"/>
          <w:color w:val="131413"/>
          <w:szCs w:val="18"/>
        </w:rPr>
        <w:lastRenderedPageBreak/>
        <w:t>la institución regional con actividades de normalización procurará por todos los medios evitar la duplicación o repetición del trabajo de las instituciones internacionales con actividades de normalización competentes.</w:t>
      </w:r>
    </w:p>
    <w:p w14:paraId="1A96D11D"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todos los casos en que sea procedente, las normas basadas en prescripciones para los productos serán definidas por la institución con actividades de normalización en función de las propiedades de uso y empleo de los productos más que en función de su diseño o de sus características descriptivas.</w:t>
      </w:r>
    </w:p>
    <w:p w14:paraId="26E1163C"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La institución con actividades de normalización dará a conocer al menos una vez cada seis meses un programa de trabajo que contenga su nombre y dirección, las normas que esté preparando en ese momento y las normas que haya adoptado durante el período precedente. Se entiende que una norma está en proceso de preparación desde el momento en que se ha adoptado la decisión de elaborarla hasta que ha sido adoptada. Los títulos de los proyectos específicos de normas se facilitarán, previa solicitud, en español, francés o inglés. Se dará a conocer la existencia del programa de trabajo en una publicación nacional o, en su caso, regional, de actividades de normalización.</w:t>
      </w:r>
    </w:p>
    <w:p w14:paraId="241EC754" w14:textId="5FC6F735" w:rsidR="00252E64"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Respecto a cada una de las normas, el programa de trabajo indicará, de conformidad con cualquier regla aplicable de la ISONET, la clasificación correspondiente a la materia, la etapa en que se encuentra la elaboración de la norma y las referencias a las normas internacionales que se hayan podido utilizar como base de la misma. A más tardar en la fecha en que dé a conocer su programa de trabajo, la institución con actividades de normalización notificará al Centro de Información de la</w:t>
      </w:r>
      <w:r w:rsidR="00664201">
        <w:rPr>
          <w:rFonts w:eastAsia="Times New Roman" w:cs="Times New Roman"/>
          <w:color w:val="131413"/>
          <w:szCs w:val="18"/>
        </w:rPr>
        <w:t> </w:t>
      </w:r>
      <w:r w:rsidRPr="00E26931">
        <w:rPr>
          <w:rFonts w:eastAsia="Times New Roman" w:cs="Times New Roman"/>
          <w:color w:val="131413"/>
          <w:szCs w:val="18"/>
        </w:rPr>
        <w:t>ISO/CEI en Ginebra la existencia del mismo.</w:t>
      </w:r>
    </w:p>
    <w:p w14:paraId="4BD19896" w14:textId="6C440AFF" w:rsidR="00F51640" w:rsidRPr="00E26931" w:rsidRDefault="00252E64" w:rsidP="00A864A1">
      <w:pPr>
        <w:autoSpaceDE w:val="0"/>
        <w:autoSpaceDN w:val="0"/>
        <w:spacing w:after="240"/>
        <w:ind w:firstLine="567"/>
        <w:rPr>
          <w:rFonts w:eastAsia="Times New Roman" w:cs="Times New Roman"/>
          <w:szCs w:val="18"/>
        </w:rPr>
      </w:pPr>
      <w:r w:rsidRPr="00E26931">
        <w:rPr>
          <w:rFonts w:eastAsia="Times New Roman" w:cs="Times New Roman"/>
          <w:color w:val="131413"/>
          <w:szCs w:val="18"/>
        </w:rPr>
        <w:t>En la notificación figurarán el nombre y la dirección de la institución con actividades de normalización, el título y número de la publicación en que se ha dado a conocer el programa de trabajo, el período al que éste corresponde y su precio (de haberlo), y se indicará cómo y dónde se puede obtener. La notificación podrá enviarse directamente al Centro de Información de la ISO/CEI o, preferentemente, por conducto del miembro nacional pertinente o de una filial internacional de la</w:t>
      </w:r>
      <w:r w:rsidR="00664201">
        <w:rPr>
          <w:rFonts w:eastAsia="Times New Roman" w:cs="Times New Roman"/>
          <w:color w:val="131413"/>
          <w:szCs w:val="18"/>
        </w:rPr>
        <w:t> </w:t>
      </w:r>
      <w:r w:rsidRPr="00E26931">
        <w:rPr>
          <w:rFonts w:eastAsia="Times New Roman" w:cs="Times New Roman"/>
          <w:color w:val="131413"/>
          <w:szCs w:val="18"/>
        </w:rPr>
        <w:t>ISONET, según proceda.</w:t>
      </w:r>
    </w:p>
    <w:p w14:paraId="42D79FBD" w14:textId="64C2268B"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El miembro nacional de la ISO/CEI procurará por todos los medios pasar a ser miembro de la</w:t>
      </w:r>
      <w:r w:rsidR="006B62F7">
        <w:rPr>
          <w:rFonts w:eastAsia="Times New Roman" w:cs="Times New Roman"/>
          <w:color w:val="131413"/>
          <w:szCs w:val="18"/>
        </w:rPr>
        <w:t> </w:t>
      </w:r>
      <w:r w:rsidRPr="00E26931">
        <w:rPr>
          <w:rFonts w:eastAsia="Times New Roman" w:cs="Times New Roman"/>
          <w:color w:val="131413"/>
          <w:szCs w:val="18"/>
        </w:rPr>
        <w:t>ISONET o designar a otra institución para que pase a ser miembro y adquiera la categoría más avanzada posible como miembro de la ISONET</w:t>
      </w:r>
      <w:r w:rsidR="006B62F7">
        <w:rPr>
          <w:rFonts w:eastAsia="Times New Roman" w:cs="Times New Roman"/>
          <w:color w:val="131413"/>
          <w:szCs w:val="18"/>
        </w:rPr>
        <w:t>.</w:t>
      </w:r>
      <w:r w:rsidRPr="00E26931">
        <w:rPr>
          <w:rFonts w:eastAsia="Times New Roman" w:cs="Times New Roman"/>
          <w:color w:val="131413"/>
          <w:szCs w:val="18"/>
        </w:rPr>
        <w:t xml:space="preserve"> Las demás instituciones con actividades de normalización procurarán por todos los medios asociarse con el miembro de la ISONET.</w:t>
      </w:r>
    </w:p>
    <w:p w14:paraId="6517E90E"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Antes de adoptar una norma, la institución con actividades de normalización concederá, como mínimo, un plazo de 60 días para que las partes interesadas dentro del territorio de un Miembro de la OMC puedan presentar observaciones sobre el proyecto de norma. No obstante, ese plazo podrá reducirse en los casos en que surjan o amenacen surgir problemas urgentes de seguridad, sanidad o medio ambiente. A más tardar en la fecha en que comience el período de presentación de observaciones, la institución con actividades de normalización dará a conocer mediante un aviso en la publicación a que se hace referencia en el párrafo J el plazo para la presentación de observaciones. En dicho aviso se indicará, en la medida de lo posible, si el proyecto de norma difiere de las normas internacionales pertinentes.</w:t>
      </w:r>
    </w:p>
    <w:p w14:paraId="61549E4B"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A petición de cualquier parte interesada dentro del territorio de un Miembro de la OMC, la institución con actividades de normalización facilitará o hará que se facilite sin demora el texto del proyecto de norma que ha sometido a la formulación de observaciones. Podrá cobrarse por este servicio un derecho que será, independientemente de los gastos reales de envío, el mismo para las partes extranjeras que para las partes nacionales.</w:t>
      </w:r>
    </w:p>
    <w:p w14:paraId="064985C8"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En la elaboración ulterior de la norma, la institución con actividades de normalización tendrá en cuenta las observaciones que se hayan recibido durante el período de presentación de observaciones. Previa solicitud, se responderá lo antes posible a las observaciones recibidas por conducto de las instituciones con actividades de normalización que hayan aceptado el presente Código de Buena Conducta. En la respuesta se explicará por qué la norma debe diferir de las normas internacionales pertinentes.</w:t>
      </w:r>
    </w:p>
    <w:p w14:paraId="4D9DF7A9"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Una vez adoptada, la norma será publicada sin demora.</w:t>
      </w:r>
    </w:p>
    <w:p w14:paraId="4032FC77" w14:textId="77777777" w:rsidR="00252E64" w:rsidRPr="00E26931" w:rsidRDefault="00252E64" w:rsidP="00A864A1">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lastRenderedPageBreak/>
        <w:t>A petición de cualquier parte interesada dentro del territorio de un Miembro de la OMC, la institución con actividades de normalización facilitará o hará que se facilite sin demora un ejemplar de su programa de trabajo más reciente o de una norma que haya elaborado. Podrá cobrarse por este servicio un derecho que será, independientemente de los gastos reales de envío, el mismo para las partes extranjeras que para las partes nacionales.</w:t>
      </w:r>
    </w:p>
    <w:p w14:paraId="7F0C348C" w14:textId="77777777" w:rsidR="00252E64" w:rsidRPr="00E26931" w:rsidRDefault="00252E64" w:rsidP="006D78B5">
      <w:pPr>
        <w:numPr>
          <w:ilvl w:val="0"/>
          <w:numId w:val="33"/>
        </w:numPr>
        <w:autoSpaceDE w:val="0"/>
        <w:autoSpaceDN w:val="0"/>
        <w:spacing w:after="240"/>
        <w:ind w:left="0" w:firstLine="0"/>
        <w:rPr>
          <w:rFonts w:eastAsia="Times New Roman" w:cs="Times New Roman"/>
          <w:szCs w:val="18"/>
        </w:rPr>
      </w:pPr>
      <w:r w:rsidRPr="00E26931">
        <w:rPr>
          <w:rFonts w:eastAsia="Times New Roman" w:cs="Times New Roman"/>
          <w:color w:val="131413"/>
          <w:szCs w:val="18"/>
        </w:rPr>
        <w:t>La institución con actividades de normalización examinará con comprensión las representaciones que le hagan las instituciones con actividades de normalización que hayan aceptado el presente Código de Buena Conducta en relación con el funcionamiento del mismo, y se prestará a la celebración de consultas sobre dichas representaciones. Dicha institución hará un esfuerzo objetivo por atender cualquier queja.</w:t>
      </w:r>
    </w:p>
    <w:bookmarkEnd w:id="8"/>
    <w:p w14:paraId="1248DE77" w14:textId="77777777" w:rsidR="00B32E54" w:rsidRPr="00E26931" w:rsidRDefault="00B32E54" w:rsidP="00A864A1">
      <w:pPr>
        <w:autoSpaceDE w:val="0"/>
        <w:autoSpaceDN w:val="0"/>
        <w:spacing w:after="240"/>
        <w:rPr>
          <w:rFonts w:eastAsia="Times New Roman" w:cs="Times New Roman"/>
          <w:szCs w:val="18"/>
        </w:rPr>
      </w:pPr>
    </w:p>
    <w:sectPr w:rsidR="00B32E54" w:rsidRPr="00E26931" w:rsidSect="004F510F">
      <w:headerReference w:type="even" r:id="rId7"/>
      <w:headerReference w:type="default" r:id="rId8"/>
      <w:footerReference w:type="even" r:id="rId9"/>
      <w:footerReference w:type="default" r:id="rId10"/>
      <w:headerReference w:type="first" r:id="rId11"/>
      <w:footerReference w:type="first" r:id="rId12"/>
      <w:pgSz w:w="11907" w:h="16840" w:code="9"/>
      <w:pgMar w:top="1701" w:right="1440" w:bottom="1440"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0F6EF" w14:textId="77777777" w:rsidR="00795AA0" w:rsidRDefault="00795AA0" w:rsidP="00BC06C7">
      <w:bookmarkStart w:id="4" w:name="_Hlk64279177"/>
      <w:bookmarkStart w:id="5" w:name="_Hlk64279178"/>
      <w:r>
        <w:separator/>
      </w:r>
      <w:bookmarkEnd w:id="4"/>
      <w:bookmarkEnd w:id="5"/>
    </w:p>
  </w:endnote>
  <w:endnote w:type="continuationSeparator" w:id="0">
    <w:p w14:paraId="1157C27E" w14:textId="77777777" w:rsidR="00795AA0" w:rsidRDefault="00795AA0" w:rsidP="00BC06C7">
      <w:bookmarkStart w:id="6" w:name="_Hlk64279179"/>
      <w:bookmarkStart w:id="7" w:name="_Hlk64279180"/>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9D631" w14:textId="77777777" w:rsidR="00F36802" w:rsidRDefault="00F36802">
    <w:pPr>
      <w:pStyle w:val="Footer"/>
    </w:pPr>
    <w:bookmarkStart w:id="15" w:name="_Hlk64279165"/>
    <w:bookmarkStart w:id="16" w:name="_Hlk64279166"/>
    <w:bookmarkEnd w:id="15"/>
    <w:bookmarkEnd w:id="1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367C7" w14:textId="177668A2" w:rsidR="00B34668" w:rsidRPr="004F510F" w:rsidRDefault="004F510F">
    <w:pPr>
      <w:pStyle w:val="Footer"/>
      <w:rPr>
        <w:lang w:val="en-GB"/>
      </w:rPr>
    </w:pPr>
    <w:bookmarkStart w:id="17" w:name="_Hlk64279167"/>
    <w:bookmarkStart w:id="18" w:name="_Hlk64279168"/>
    <w:r>
      <w:rPr>
        <w:lang w:val="en-GB"/>
      </w:rPr>
      <w:t xml:space="preserve"> </w:t>
    </w:r>
    <w:bookmarkEnd w:id="17"/>
    <w:bookmarkEnd w:id="1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A0076" w14:textId="77777777" w:rsidR="00F36802" w:rsidRDefault="00F36802">
    <w:pPr>
      <w:pStyle w:val="Footer"/>
    </w:pPr>
    <w:bookmarkStart w:id="21" w:name="_Hlk64279171"/>
    <w:bookmarkStart w:id="22" w:name="_Hlk64279172"/>
    <w:bookmarkEnd w:id="21"/>
    <w:bookmarkEnd w:id="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8B3B99" w14:textId="77777777" w:rsidR="00795AA0" w:rsidRDefault="00795AA0" w:rsidP="00BC06C7">
      <w:bookmarkStart w:id="0" w:name="_Hlk64279173"/>
      <w:bookmarkStart w:id="1" w:name="_Hlk64279174"/>
      <w:r>
        <w:separator/>
      </w:r>
      <w:bookmarkEnd w:id="0"/>
      <w:bookmarkEnd w:id="1"/>
    </w:p>
  </w:footnote>
  <w:footnote w:type="continuationSeparator" w:id="0">
    <w:p w14:paraId="0DF1FF2F" w14:textId="77777777" w:rsidR="00795AA0" w:rsidRDefault="00795AA0" w:rsidP="00BC06C7">
      <w:bookmarkStart w:id="2" w:name="_Hlk64279175"/>
      <w:bookmarkStart w:id="3" w:name="_Hlk64279176"/>
      <w:r>
        <w:continuationSeparator/>
      </w:r>
      <w:bookmarkEnd w:id="2"/>
      <w:bookmarkEnd w:id="3"/>
    </w:p>
  </w:footnote>
  <w:footnote w:id="1">
    <w:p w14:paraId="12999063" w14:textId="119C0F43" w:rsidR="00542EEF" w:rsidRDefault="00542EEF" w:rsidP="009F11D8">
      <w:pPr>
        <w:pStyle w:val="FootnoteText"/>
        <w:ind w:right="-45"/>
      </w:pPr>
      <w:bookmarkStart w:id="9" w:name="_Hlk64279157"/>
      <w:bookmarkStart w:id="10" w:name="_Hlk64279158"/>
      <w:r>
        <w:rPr>
          <w:rStyle w:val="FootnoteReference"/>
        </w:rPr>
        <w:footnoteRef/>
      </w:r>
      <w:r>
        <w:t xml:space="preserve"> </w:t>
      </w:r>
      <w:r w:rsidRPr="00CE0A85">
        <w:rPr>
          <w:rFonts w:eastAsia="Times New Roman"/>
          <w:color w:val="131413"/>
        </w:rPr>
        <w:t>Por "nacionales" se entiende a tal efecto, en el caso de un territorio aduanero distinto Miembro de la</w:t>
      </w:r>
      <w:r w:rsidR="006B74FF">
        <w:rPr>
          <w:rFonts w:eastAsia="Times New Roman"/>
          <w:color w:val="131413"/>
        </w:rPr>
        <w:t> </w:t>
      </w:r>
      <w:r w:rsidRPr="00CE0A85">
        <w:rPr>
          <w:rFonts w:eastAsia="Times New Roman"/>
          <w:color w:val="131413"/>
        </w:rPr>
        <w:t>OMC, las personas físicas o jurídicas que tengan domicilio o un establecimiento industrial o comercial, real y efectivo, en ese territorio aduanero</w:t>
      </w:r>
      <w:r w:rsidR="006B74FF">
        <w:rPr>
          <w:rFonts w:eastAsia="Times New Roman"/>
          <w:color w:val="131413"/>
        </w:rPr>
        <w:t>.</w:t>
      </w:r>
      <w:bookmarkEnd w:id="9"/>
      <w:bookmarkEnd w:id="1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3417C" w14:textId="77777777" w:rsidR="0090347B" w:rsidRDefault="0090347B">
    <w:pPr>
      <w:pStyle w:val="Header"/>
      <w:jc w:val="center"/>
    </w:pPr>
    <w:bookmarkStart w:id="11" w:name="_Hlk64279161"/>
    <w:bookmarkStart w:id="12" w:name="_Hlk64279162"/>
    <w:r>
      <w:t xml:space="preserve">- </w:t>
    </w:r>
    <w:sdt>
      <w:sdtPr>
        <w:id w:val="-1408224490"/>
        <w:docPartObj>
          <w:docPartGallery w:val="Page Numbers (Top of Page)"/>
          <w:docPartUnique/>
        </w:docPartObj>
      </w:sdtPr>
      <w:sdtEndPr/>
      <w:sdtContent>
        <w:r>
          <w:fldChar w:fldCharType="begin"/>
        </w:r>
        <w:r>
          <w:instrText>PAGE   \* MERGEFORMAT</w:instrText>
        </w:r>
        <w:r>
          <w:fldChar w:fldCharType="separate"/>
        </w:r>
        <w:r>
          <w:t>2</w:t>
        </w:r>
        <w:r>
          <w:fldChar w:fldCharType="end"/>
        </w:r>
      </w:sdtContent>
    </w:sdt>
    <w:r>
      <w:t xml:space="preserve"> -</w:t>
    </w:r>
  </w:p>
  <w:bookmarkEnd w:id="11"/>
  <w:bookmarkEnd w:id="12"/>
  <w:p w14:paraId="5403FCE6" w14:textId="77777777" w:rsidR="0090347B" w:rsidRPr="008B63F8" w:rsidRDefault="0090347B" w:rsidP="008B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655FF" w14:textId="77777777" w:rsidR="00C94E5F" w:rsidRDefault="00C94E5F" w:rsidP="00C94E5F">
    <w:pPr>
      <w:pStyle w:val="Header"/>
      <w:pBdr>
        <w:bottom w:val="single" w:sz="4" w:space="1" w:color="auto"/>
      </w:pBdr>
      <w:spacing w:after="240"/>
      <w:jc w:val="center"/>
    </w:pPr>
    <w:bookmarkStart w:id="13" w:name="_Hlk64279163"/>
    <w:bookmarkStart w:id="14" w:name="_Hlk64279164"/>
  </w:p>
  <w:p w14:paraId="0005267C" w14:textId="1E69CFD1" w:rsidR="00795AA0" w:rsidRPr="0090347B" w:rsidRDefault="0090347B" w:rsidP="00C94E5F">
    <w:pPr>
      <w:pStyle w:val="Header"/>
      <w:pBdr>
        <w:bottom w:val="single" w:sz="4" w:space="1" w:color="auto"/>
      </w:pBdr>
      <w:jc w:val="center"/>
    </w:pPr>
    <w:r>
      <w:t xml:space="preserve">- </w:t>
    </w:r>
    <w:sdt>
      <w:sdtPr>
        <w:id w:val="-818652407"/>
        <w:docPartObj>
          <w:docPartGallery w:val="Page Numbers (Top of Page)"/>
          <w:docPartUnique/>
        </w:docPartObj>
      </w:sdtPr>
      <w:sdtEndPr/>
      <w:sdtContent>
        <w:r>
          <w:fldChar w:fldCharType="begin"/>
        </w:r>
        <w:r>
          <w:instrText>PAGE   \* MERGEFORMAT</w:instrText>
        </w:r>
        <w:r>
          <w:fldChar w:fldCharType="separate"/>
        </w:r>
        <w:r>
          <w:t>20</w:t>
        </w:r>
        <w:r>
          <w:fldChar w:fldCharType="end"/>
        </w:r>
      </w:sdtContent>
    </w:sdt>
    <w:r>
      <w:t xml:space="preserve"> -</w:t>
    </w:r>
    <w:bookmarkEnd w:id="13"/>
    <w:bookmarkEnd w:id="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5FB2E" w14:textId="77777777" w:rsidR="00F36802" w:rsidRDefault="00F36802">
    <w:pPr>
      <w:pStyle w:val="Header"/>
    </w:pPr>
    <w:bookmarkStart w:id="19" w:name="_Hlk64279169"/>
    <w:bookmarkStart w:id="20" w:name="_Hlk64279170"/>
    <w:bookmarkEnd w:id="19"/>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D54DF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C80E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4C1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AAA3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3679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80BD0"/>
    <w:multiLevelType w:val="multilevel"/>
    <w:tmpl w:val="809A0942"/>
    <w:lvl w:ilvl="0">
      <w:start w:val="8"/>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1" w15:restartNumberingAfterBreak="0">
    <w:nsid w:val="0A451773"/>
    <w:multiLevelType w:val="multilevel"/>
    <w:tmpl w:val="6D8E78CC"/>
    <w:lvl w:ilvl="0">
      <w:start w:val="4"/>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2" w15:restartNumberingAfterBreak="0">
    <w:nsid w:val="0CDB5303"/>
    <w:multiLevelType w:val="multilevel"/>
    <w:tmpl w:val="BCB602F4"/>
    <w:lvl w:ilvl="0">
      <w:start w:val="1"/>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13" w15:restartNumberingAfterBreak="0">
    <w:nsid w:val="0EC00F44"/>
    <w:multiLevelType w:val="multilevel"/>
    <w:tmpl w:val="37700A82"/>
    <w:lvl w:ilvl="0">
      <w:start w:val="6"/>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57" w:hanging="567"/>
      </w:pPr>
      <w:rPr>
        <w:rFonts w:ascii="Verdana" w:eastAsia="Times New Roman" w:hAnsi="Verdana" w:cs="Times New Roman" w:hint="default"/>
        <w:color w:val="131413"/>
        <w:spacing w:val="0"/>
        <w:w w:val="100"/>
        <w:sz w:val="18"/>
        <w:szCs w:val="18"/>
      </w:rPr>
    </w:lvl>
    <w:lvl w:ilvl="3">
      <w:numFmt w:val="bullet"/>
      <w:lvlText w:val="•"/>
      <w:lvlJc w:val="left"/>
      <w:pPr>
        <w:ind w:left="2370" w:hanging="567"/>
      </w:pPr>
      <w:rPr>
        <w:rFonts w:hint="default"/>
      </w:rPr>
    </w:lvl>
    <w:lvl w:ilvl="4">
      <w:numFmt w:val="bullet"/>
      <w:lvlText w:val="•"/>
      <w:lvlJc w:val="left"/>
      <w:pPr>
        <w:ind w:left="2925" w:hanging="567"/>
      </w:pPr>
      <w:rPr>
        <w:rFonts w:hint="default"/>
      </w:rPr>
    </w:lvl>
    <w:lvl w:ilvl="5">
      <w:numFmt w:val="bullet"/>
      <w:lvlText w:val="•"/>
      <w:lvlJc w:val="left"/>
      <w:pPr>
        <w:ind w:left="3481" w:hanging="567"/>
      </w:pPr>
      <w:rPr>
        <w:rFonts w:hint="default"/>
      </w:rPr>
    </w:lvl>
    <w:lvl w:ilvl="6">
      <w:numFmt w:val="bullet"/>
      <w:lvlText w:val="•"/>
      <w:lvlJc w:val="left"/>
      <w:pPr>
        <w:ind w:left="4036" w:hanging="567"/>
      </w:pPr>
      <w:rPr>
        <w:rFonts w:hint="default"/>
      </w:rPr>
    </w:lvl>
    <w:lvl w:ilvl="7">
      <w:numFmt w:val="bullet"/>
      <w:lvlText w:val="•"/>
      <w:lvlJc w:val="left"/>
      <w:pPr>
        <w:ind w:left="4591" w:hanging="567"/>
      </w:pPr>
      <w:rPr>
        <w:rFonts w:hint="default"/>
      </w:rPr>
    </w:lvl>
    <w:lvl w:ilvl="8">
      <w:numFmt w:val="bullet"/>
      <w:lvlText w:val="•"/>
      <w:lvlJc w:val="left"/>
      <w:pPr>
        <w:ind w:left="5146" w:hanging="567"/>
      </w:pPr>
      <w:rPr>
        <w:rFonts w:hint="default"/>
      </w:rPr>
    </w:lvl>
  </w:abstractNum>
  <w:abstractNum w:abstractNumId="14" w15:restartNumberingAfterBreak="0">
    <w:nsid w:val="0F0E3F03"/>
    <w:multiLevelType w:val="multilevel"/>
    <w:tmpl w:val="E446F946"/>
    <w:lvl w:ilvl="0">
      <w:start w:val="7"/>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15" w15:restartNumberingAfterBreak="0">
    <w:nsid w:val="0F171E2C"/>
    <w:multiLevelType w:val="multilevel"/>
    <w:tmpl w:val="AC9ED948"/>
    <w:lvl w:ilvl="0">
      <w:start w:val="11"/>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9"/>
        <w:w w:val="100"/>
        <w:sz w:val="18"/>
        <w:szCs w:val="18"/>
      </w:rPr>
    </w:lvl>
    <w:lvl w:ilvl="2">
      <w:start w:val="1"/>
      <w:numFmt w:val="decimal"/>
      <w:lvlText w:val="%1.%2.%3"/>
      <w:lvlJc w:val="left"/>
      <w:pPr>
        <w:ind w:left="1244" w:hanging="567"/>
      </w:pPr>
      <w:rPr>
        <w:rFonts w:ascii="Verdana" w:eastAsia="Times New Roman" w:hAnsi="Verdana" w:cs="Times New Roman" w:hint="default"/>
        <w:color w:val="131413"/>
        <w:w w:val="100"/>
        <w:sz w:val="18"/>
        <w:szCs w:val="18"/>
      </w:rPr>
    </w:lvl>
    <w:lvl w:ilvl="3">
      <w:numFmt w:val="bullet"/>
      <w:lvlText w:val="•"/>
      <w:lvlJc w:val="left"/>
      <w:pPr>
        <w:ind w:left="2452" w:hanging="567"/>
      </w:pPr>
      <w:rPr>
        <w:rFonts w:hint="default"/>
      </w:rPr>
    </w:lvl>
    <w:lvl w:ilvl="4">
      <w:numFmt w:val="bullet"/>
      <w:lvlText w:val="•"/>
      <w:lvlJc w:val="left"/>
      <w:pPr>
        <w:ind w:left="3059" w:hanging="567"/>
      </w:pPr>
      <w:rPr>
        <w:rFonts w:hint="default"/>
      </w:rPr>
    </w:lvl>
    <w:lvl w:ilvl="5">
      <w:numFmt w:val="bullet"/>
      <w:lvlText w:val="•"/>
      <w:lvlJc w:val="left"/>
      <w:pPr>
        <w:ind w:left="3665" w:hanging="567"/>
      </w:pPr>
      <w:rPr>
        <w:rFonts w:hint="default"/>
      </w:rPr>
    </w:lvl>
    <w:lvl w:ilvl="6">
      <w:numFmt w:val="bullet"/>
      <w:lvlText w:val="•"/>
      <w:lvlJc w:val="left"/>
      <w:pPr>
        <w:ind w:left="4271" w:hanging="567"/>
      </w:pPr>
      <w:rPr>
        <w:rFonts w:hint="default"/>
      </w:rPr>
    </w:lvl>
    <w:lvl w:ilvl="7">
      <w:numFmt w:val="bullet"/>
      <w:lvlText w:val="•"/>
      <w:lvlJc w:val="left"/>
      <w:pPr>
        <w:ind w:left="4878" w:hanging="567"/>
      </w:pPr>
      <w:rPr>
        <w:rFonts w:hint="default"/>
      </w:rPr>
    </w:lvl>
    <w:lvl w:ilvl="8">
      <w:numFmt w:val="bullet"/>
      <w:lvlText w:val="•"/>
      <w:lvlJc w:val="left"/>
      <w:pPr>
        <w:ind w:left="5484" w:hanging="567"/>
      </w:pPr>
      <w:rPr>
        <w:rFonts w:hint="default"/>
      </w:rPr>
    </w:lvl>
  </w:abstractNum>
  <w:abstractNum w:abstractNumId="16" w15:restartNumberingAfterBreak="0">
    <w:nsid w:val="19B724E1"/>
    <w:multiLevelType w:val="multilevel"/>
    <w:tmpl w:val="AF329A6E"/>
    <w:lvl w:ilvl="0">
      <w:start w:val="3"/>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17" w15:restartNumberingAfterBreak="0">
    <w:nsid w:val="23A63D9D"/>
    <w:multiLevelType w:val="hybridMultilevel"/>
    <w:tmpl w:val="942E5786"/>
    <w:lvl w:ilvl="0" w:tplc="081C6274">
      <w:start w:val="1"/>
      <w:numFmt w:val="decimal"/>
      <w:lvlText w:val="%1."/>
      <w:lvlJc w:val="left"/>
      <w:pPr>
        <w:ind w:left="690" w:hanging="567"/>
      </w:pPr>
      <w:rPr>
        <w:rFonts w:ascii="Verdana" w:eastAsia="Times New Roman" w:hAnsi="Verdana" w:cs="Times New Roman" w:hint="default"/>
        <w:i w:val="0"/>
        <w:iCs/>
        <w:color w:val="131413"/>
        <w:spacing w:val="-8"/>
        <w:w w:val="100"/>
        <w:sz w:val="18"/>
        <w:szCs w:val="18"/>
      </w:rPr>
    </w:lvl>
    <w:lvl w:ilvl="1" w:tplc="112AD334">
      <w:numFmt w:val="bullet"/>
      <w:lvlText w:val="•"/>
      <w:lvlJc w:val="left"/>
      <w:pPr>
        <w:ind w:left="1373" w:hanging="567"/>
      </w:pPr>
      <w:rPr>
        <w:rFonts w:hint="default"/>
      </w:rPr>
    </w:lvl>
    <w:lvl w:ilvl="2" w:tplc="E9D649E0">
      <w:numFmt w:val="bullet"/>
      <w:lvlText w:val="•"/>
      <w:lvlJc w:val="left"/>
      <w:pPr>
        <w:ind w:left="2047" w:hanging="567"/>
      </w:pPr>
      <w:rPr>
        <w:rFonts w:hint="default"/>
      </w:rPr>
    </w:lvl>
    <w:lvl w:ilvl="3" w:tplc="8C4474C2">
      <w:numFmt w:val="bullet"/>
      <w:lvlText w:val="•"/>
      <w:lvlJc w:val="left"/>
      <w:pPr>
        <w:ind w:left="2721" w:hanging="567"/>
      </w:pPr>
      <w:rPr>
        <w:rFonts w:hint="default"/>
      </w:rPr>
    </w:lvl>
    <w:lvl w:ilvl="4" w:tplc="CB7E50BE">
      <w:numFmt w:val="bullet"/>
      <w:lvlText w:val="•"/>
      <w:lvlJc w:val="left"/>
      <w:pPr>
        <w:ind w:left="3394" w:hanging="567"/>
      </w:pPr>
      <w:rPr>
        <w:rFonts w:hint="default"/>
      </w:rPr>
    </w:lvl>
    <w:lvl w:ilvl="5" w:tplc="0C2A2688">
      <w:numFmt w:val="bullet"/>
      <w:lvlText w:val="•"/>
      <w:lvlJc w:val="left"/>
      <w:pPr>
        <w:ind w:left="4068" w:hanging="567"/>
      </w:pPr>
      <w:rPr>
        <w:rFonts w:hint="default"/>
      </w:rPr>
    </w:lvl>
    <w:lvl w:ilvl="6" w:tplc="AC9EA99C">
      <w:numFmt w:val="bullet"/>
      <w:lvlText w:val="•"/>
      <w:lvlJc w:val="left"/>
      <w:pPr>
        <w:ind w:left="4742" w:hanging="567"/>
      </w:pPr>
      <w:rPr>
        <w:rFonts w:hint="default"/>
      </w:rPr>
    </w:lvl>
    <w:lvl w:ilvl="7" w:tplc="306C22F6">
      <w:numFmt w:val="bullet"/>
      <w:lvlText w:val="•"/>
      <w:lvlJc w:val="left"/>
      <w:pPr>
        <w:ind w:left="5416" w:hanging="567"/>
      </w:pPr>
      <w:rPr>
        <w:rFonts w:hint="default"/>
      </w:rPr>
    </w:lvl>
    <w:lvl w:ilvl="8" w:tplc="B14C1E24">
      <w:numFmt w:val="bullet"/>
      <w:lvlText w:val="•"/>
      <w:lvlJc w:val="left"/>
      <w:pPr>
        <w:ind w:left="6089" w:hanging="567"/>
      </w:pPr>
      <w:rPr>
        <w:rFonts w:hint="default"/>
      </w:rPr>
    </w:lvl>
  </w:abstractNum>
  <w:abstractNum w:abstractNumId="18" w15:restartNumberingAfterBreak="0">
    <w:nsid w:val="27EB1860"/>
    <w:multiLevelType w:val="multilevel"/>
    <w:tmpl w:val="05D04EDC"/>
    <w:lvl w:ilvl="0">
      <w:start w:val="2"/>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44" w:hanging="567"/>
      </w:pPr>
      <w:rPr>
        <w:rFonts w:ascii="Verdana" w:eastAsia="Times New Roman" w:hAnsi="Verdana" w:cs="Times New Roman" w:hint="default"/>
        <w:color w:val="131413"/>
        <w:spacing w:val="0"/>
        <w:w w:val="100"/>
        <w:sz w:val="18"/>
        <w:szCs w:val="18"/>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19" w15:restartNumberingAfterBreak="0">
    <w:nsid w:val="408F6203"/>
    <w:multiLevelType w:val="hybridMultilevel"/>
    <w:tmpl w:val="C428A8CA"/>
    <w:lvl w:ilvl="0" w:tplc="CB6A5D90">
      <w:start w:val="1"/>
      <w:numFmt w:val="upperLetter"/>
      <w:lvlText w:val="%1."/>
      <w:lvlJc w:val="left"/>
      <w:pPr>
        <w:ind w:left="110" w:hanging="567"/>
      </w:pPr>
      <w:rPr>
        <w:rFonts w:ascii="Verdana" w:eastAsia="Times New Roman" w:hAnsi="Verdana" w:cs="Times New Roman" w:hint="default"/>
        <w:color w:val="131413"/>
        <w:w w:val="100"/>
        <w:sz w:val="18"/>
        <w:szCs w:val="18"/>
      </w:rPr>
    </w:lvl>
    <w:lvl w:ilvl="1" w:tplc="821CEE58">
      <w:start w:val="1"/>
      <w:numFmt w:val="decimal"/>
      <w:lvlText w:val="%2."/>
      <w:lvlJc w:val="left"/>
      <w:pPr>
        <w:ind w:left="123" w:hanging="567"/>
      </w:pPr>
      <w:rPr>
        <w:rFonts w:ascii="Times New Roman" w:eastAsia="Times New Roman" w:hAnsi="Times New Roman" w:cs="Times New Roman" w:hint="default"/>
        <w:color w:val="131413"/>
        <w:spacing w:val="-23"/>
        <w:w w:val="99"/>
        <w:sz w:val="20"/>
        <w:szCs w:val="20"/>
      </w:rPr>
    </w:lvl>
    <w:lvl w:ilvl="2" w:tplc="5A7A6A2C">
      <w:numFmt w:val="bullet"/>
      <w:lvlText w:val="•"/>
      <w:lvlJc w:val="left"/>
      <w:pPr>
        <w:ind w:left="1347" w:hanging="567"/>
      </w:pPr>
      <w:rPr>
        <w:rFonts w:hint="default"/>
      </w:rPr>
    </w:lvl>
    <w:lvl w:ilvl="3" w:tplc="B680E29C">
      <w:numFmt w:val="bullet"/>
      <w:lvlText w:val="•"/>
      <w:lvlJc w:val="left"/>
      <w:pPr>
        <w:ind w:left="1961" w:hanging="567"/>
      </w:pPr>
      <w:rPr>
        <w:rFonts w:hint="default"/>
      </w:rPr>
    </w:lvl>
    <w:lvl w:ilvl="4" w:tplc="2444A1CC">
      <w:numFmt w:val="bullet"/>
      <w:lvlText w:val="•"/>
      <w:lvlJc w:val="left"/>
      <w:pPr>
        <w:ind w:left="2574" w:hanging="567"/>
      </w:pPr>
      <w:rPr>
        <w:rFonts w:hint="default"/>
      </w:rPr>
    </w:lvl>
    <w:lvl w:ilvl="5" w:tplc="A2F2A574">
      <w:numFmt w:val="bullet"/>
      <w:lvlText w:val="•"/>
      <w:lvlJc w:val="left"/>
      <w:pPr>
        <w:ind w:left="3188" w:hanging="567"/>
      </w:pPr>
      <w:rPr>
        <w:rFonts w:hint="default"/>
      </w:rPr>
    </w:lvl>
    <w:lvl w:ilvl="6" w:tplc="CF5C8006">
      <w:numFmt w:val="bullet"/>
      <w:lvlText w:val="•"/>
      <w:lvlJc w:val="left"/>
      <w:pPr>
        <w:ind w:left="3802" w:hanging="567"/>
      </w:pPr>
      <w:rPr>
        <w:rFonts w:hint="default"/>
      </w:rPr>
    </w:lvl>
    <w:lvl w:ilvl="7" w:tplc="0A7A5AC0">
      <w:numFmt w:val="bullet"/>
      <w:lvlText w:val="•"/>
      <w:lvlJc w:val="left"/>
      <w:pPr>
        <w:ind w:left="4416" w:hanging="567"/>
      </w:pPr>
      <w:rPr>
        <w:rFonts w:hint="default"/>
      </w:rPr>
    </w:lvl>
    <w:lvl w:ilvl="8" w:tplc="0EA64B6C">
      <w:numFmt w:val="bullet"/>
      <w:lvlText w:val="•"/>
      <w:lvlJc w:val="left"/>
      <w:pPr>
        <w:ind w:left="5029" w:hanging="567"/>
      </w:pPr>
      <w:rPr>
        <w:rFonts w:hint="default"/>
      </w:rPr>
    </w:lvl>
  </w:abstractNum>
  <w:abstractNum w:abstractNumId="20" w15:restartNumberingAfterBreak="0">
    <w:nsid w:val="47AB25E7"/>
    <w:multiLevelType w:val="multilevel"/>
    <w:tmpl w:val="4288D5D2"/>
    <w:lvl w:ilvl="0">
      <w:start w:val="10"/>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57" w:hanging="567"/>
      </w:pPr>
      <w:rPr>
        <w:rFonts w:ascii="Verdana" w:eastAsia="Times New Roman" w:hAnsi="Verdana" w:cs="Times New Roman" w:hint="default"/>
        <w:color w:val="131413"/>
        <w:w w:val="100"/>
        <w:sz w:val="18"/>
        <w:szCs w:val="18"/>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21"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2" w15:restartNumberingAfterBreak="0">
    <w:nsid w:val="54B57DEF"/>
    <w:multiLevelType w:val="multilevel"/>
    <w:tmpl w:val="A9E0915C"/>
    <w:lvl w:ilvl="0">
      <w:start w:val="15"/>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23" w15:restartNumberingAfterBreak="0">
    <w:nsid w:val="560C4D9B"/>
    <w:multiLevelType w:val="multilevel"/>
    <w:tmpl w:val="CBAAF034"/>
    <w:lvl w:ilvl="0">
      <w:start w:val="14"/>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24"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2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5CE5513"/>
    <w:multiLevelType w:val="multilevel"/>
    <w:tmpl w:val="1542E724"/>
    <w:lvl w:ilvl="0">
      <w:start w:val="13"/>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27" w15:restartNumberingAfterBreak="0">
    <w:nsid w:val="681248E7"/>
    <w:multiLevelType w:val="multilevel"/>
    <w:tmpl w:val="993E4796"/>
    <w:lvl w:ilvl="0">
      <w:start w:val="9"/>
      <w:numFmt w:val="decimal"/>
      <w:lvlText w:val="%1"/>
      <w:lvlJc w:val="left"/>
      <w:pPr>
        <w:ind w:left="110" w:hanging="567"/>
      </w:pPr>
      <w:rPr>
        <w:rFonts w:cs="Times New Roman" w:hint="default"/>
      </w:rPr>
    </w:lvl>
    <w:lvl w:ilvl="1">
      <w:start w:val="1"/>
      <w:numFmt w:val="decimal"/>
      <w:lvlText w:val="%1.%2"/>
      <w:lvlJc w:val="left"/>
      <w:pPr>
        <w:ind w:left="110" w:hanging="567"/>
      </w:pPr>
      <w:rPr>
        <w:rFonts w:ascii="Verdana" w:eastAsia="Times New Roman" w:hAnsi="Verdana" w:cs="Times New Roman" w:hint="default"/>
        <w:color w:val="131413"/>
        <w:spacing w:val="0"/>
        <w:w w:val="100"/>
        <w:sz w:val="18"/>
        <w:szCs w:val="18"/>
      </w:rPr>
    </w:lvl>
    <w:lvl w:ilvl="2">
      <w:numFmt w:val="bullet"/>
      <w:lvlText w:val="•"/>
      <w:lvlJc w:val="left"/>
      <w:pPr>
        <w:ind w:left="1435" w:hanging="567"/>
      </w:pPr>
      <w:rPr>
        <w:rFonts w:hint="default"/>
      </w:rPr>
    </w:lvl>
    <w:lvl w:ilvl="3">
      <w:numFmt w:val="bullet"/>
      <w:lvlText w:val="•"/>
      <w:lvlJc w:val="left"/>
      <w:pPr>
        <w:ind w:left="2093" w:hanging="567"/>
      </w:pPr>
      <w:rPr>
        <w:rFonts w:hint="default"/>
      </w:rPr>
    </w:lvl>
    <w:lvl w:ilvl="4">
      <w:numFmt w:val="bullet"/>
      <w:lvlText w:val="•"/>
      <w:lvlJc w:val="left"/>
      <w:pPr>
        <w:ind w:left="2750" w:hanging="567"/>
      </w:pPr>
      <w:rPr>
        <w:rFonts w:hint="default"/>
      </w:rPr>
    </w:lvl>
    <w:lvl w:ilvl="5">
      <w:numFmt w:val="bullet"/>
      <w:lvlText w:val="•"/>
      <w:lvlJc w:val="left"/>
      <w:pPr>
        <w:ind w:left="3408" w:hanging="567"/>
      </w:pPr>
      <w:rPr>
        <w:rFonts w:hint="default"/>
      </w:rPr>
    </w:lvl>
    <w:lvl w:ilvl="6">
      <w:numFmt w:val="bullet"/>
      <w:lvlText w:val="•"/>
      <w:lvlJc w:val="left"/>
      <w:pPr>
        <w:ind w:left="4066" w:hanging="567"/>
      </w:pPr>
      <w:rPr>
        <w:rFonts w:hint="default"/>
      </w:rPr>
    </w:lvl>
    <w:lvl w:ilvl="7">
      <w:numFmt w:val="bullet"/>
      <w:lvlText w:val="•"/>
      <w:lvlJc w:val="left"/>
      <w:pPr>
        <w:ind w:left="4724" w:hanging="567"/>
      </w:pPr>
      <w:rPr>
        <w:rFonts w:hint="default"/>
      </w:rPr>
    </w:lvl>
    <w:lvl w:ilvl="8">
      <w:numFmt w:val="bullet"/>
      <w:lvlText w:val="•"/>
      <w:lvlJc w:val="left"/>
      <w:pPr>
        <w:ind w:left="5381" w:hanging="567"/>
      </w:pPr>
      <w:rPr>
        <w:rFonts w:hint="default"/>
      </w:rPr>
    </w:lvl>
  </w:abstractNum>
  <w:abstractNum w:abstractNumId="28" w15:restartNumberingAfterBreak="0">
    <w:nsid w:val="69DF5E26"/>
    <w:multiLevelType w:val="multilevel"/>
    <w:tmpl w:val="58FE9414"/>
    <w:lvl w:ilvl="0">
      <w:start w:val="5"/>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0"/>
        <w:w w:val="100"/>
        <w:sz w:val="18"/>
        <w:szCs w:val="18"/>
      </w:rPr>
    </w:lvl>
    <w:lvl w:ilvl="2">
      <w:start w:val="1"/>
      <w:numFmt w:val="decimal"/>
      <w:lvlText w:val="%1.%2.%3"/>
      <w:lvlJc w:val="left"/>
      <w:pPr>
        <w:ind w:left="1257" w:hanging="567"/>
      </w:pPr>
      <w:rPr>
        <w:rFonts w:ascii="Verdana" w:eastAsia="Times New Roman" w:hAnsi="Verdana" w:cs="Times New Roman" w:hint="default"/>
        <w:color w:val="131413"/>
        <w:spacing w:val="0"/>
        <w:w w:val="100"/>
        <w:sz w:val="18"/>
        <w:szCs w:val="18"/>
      </w:rPr>
    </w:lvl>
    <w:lvl w:ilvl="3">
      <w:numFmt w:val="bullet"/>
      <w:lvlText w:val="•"/>
      <w:lvlJc w:val="left"/>
      <w:pPr>
        <w:ind w:left="1884" w:hanging="567"/>
      </w:pPr>
      <w:rPr>
        <w:rFonts w:hint="default"/>
      </w:rPr>
    </w:lvl>
    <w:lvl w:ilvl="4">
      <w:numFmt w:val="bullet"/>
      <w:lvlText w:val="•"/>
      <w:lvlJc w:val="left"/>
      <w:pPr>
        <w:ind w:left="2509" w:hanging="567"/>
      </w:pPr>
      <w:rPr>
        <w:rFonts w:hint="default"/>
      </w:rPr>
    </w:lvl>
    <w:lvl w:ilvl="5">
      <w:numFmt w:val="bullet"/>
      <w:lvlText w:val="•"/>
      <w:lvlJc w:val="left"/>
      <w:pPr>
        <w:ind w:left="3134" w:hanging="567"/>
      </w:pPr>
      <w:rPr>
        <w:rFonts w:hint="default"/>
      </w:rPr>
    </w:lvl>
    <w:lvl w:ilvl="6">
      <w:numFmt w:val="bullet"/>
      <w:lvlText w:val="•"/>
      <w:lvlJc w:val="left"/>
      <w:pPr>
        <w:ind w:left="3758" w:hanging="567"/>
      </w:pPr>
      <w:rPr>
        <w:rFonts w:hint="default"/>
      </w:rPr>
    </w:lvl>
    <w:lvl w:ilvl="7">
      <w:numFmt w:val="bullet"/>
      <w:lvlText w:val="•"/>
      <w:lvlJc w:val="left"/>
      <w:pPr>
        <w:ind w:left="4383" w:hanging="567"/>
      </w:pPr>
      <w:rPr>
        <w:rFonts w:hint="default"/>
      </w:rPr>
    </w:lvl>
    <w:lvl w:ilvl="8">
      <w:numFmt w:val="bullet"/>
      <w:lvlText w:val="•"/>
      <w:lvlJc w:val="left"/>
      <w:pPr>
        <w:ind w:left="5008" w:hanging="567"/>
      </w:pPr>
      <w:rPr>
        <w:rFonts w:hint="default"/>
      </w:rPr>
    </w:lvl>
  </w:abstractNum>
  <w:abstractNum w:abstractNumId="29" w15:restartNumberingAfterBreak="0">
    <w:nsid w:val="6C6537F1"/>
    <w:multiLevelType w:val="multilevel"/>
    <w:tmpl w:val="5C9C3CC8"/>
    <w:lvl w:ilvl="0">
      <w:start w:val="12"/>
      <w:numFmt w:val="decimal"/>
      <w:lvlText w:val="%1"/>
      <w:lvlJc w:val="left"/>
      <w:pPr>
        <w:ind w:left="123" w:hanging="567"/>
      </w:pPr>
      <w:rPr>
        <w:rFonts w:cs="Times New Roman" w:hint="default"/>
      </w:rPr>
    </w:lvl>
    <w:lvl w:ilvl="1">
      <w:start w:val="1"/>
      <w:numFmt w:val="decimal"/>
      <w:lvlText w:val="%1.%2"/>
      <w:lvlJc w:val="left"/>
      <w:pPr>
        <w:ind w:left="123" w:hanging="567"/>
      </w:pPr>
      <w:rPr>
        <w:rFonts w:ascii="Verdana" w:eastAsia="Times New Roman" w:hAnsi="Verdana" w:cs="Times New Roman" w:hint="default"/>
        <w:color w:val="131413"/>
        <w:spacing w:val="-11"/>
        <w:w w:val="100"/>
        <w:sz w:val="18"/>
        <w:szCs w:val="18"/>
      </w:rPr>
    </w:lvl>
    <w:lvl w:ilvl="2">
      <w:numFmt w:val="bullet"/>
      <w:lvlText w:val="•"/>
      <w:lvlJc w:val="left"/>
      <w:pPr>
        <w:ind w:left="1583" w:hanging="567"/>
      </w:pPr>
      <w:rPr>
        <w:rFonts w:hint="default"/>
      </w:rPr>
    </w:lvl>
    <w:lvl w:ilvl="3">
      <w:numFmt w:val="bullet"/>
      <w:lvlText w:val="•"/>
      <w:lvlJc w:val="left"/>
      <w:pPr>
        <w:ind w:left="2315" w:hanging="567"/>
      </w:pPr>
      <w:rPr>
        <w:rFonts w:hint="default"/>
      </w:rPr>
    </w:lvl>
    <w:lvl w:ilvl="4">
      <w:numFmt w:val="bullet"/>
      <w:lvlText w:val="•"/>
      <w:lvlJc w:val="left"/>
      <w:pPr>
        <w:ind w:left="3046" w:hanging="567"/>
      </w:pPr>
      <w:rPr>
        <w:rFonts w:hint="default"/>
      </w:rPr>
    </w:lvl>
    <w:lvl w:ilvl="5">
      <w:numFmt w:val="bullet"/>
      <w:lvlText w:val="•"/>
      <w:lvlJc w:val="left"/>
      <w:pPr>
        <w:ind w:left="3778" w:hanging="567"/>
      </w:pPr>
      <w:rPr>
        <w:rFonts w:hint="default"/>
      </w:rPr>
    </w:lvl>
    <w:lvl w:ilvl="6">
      <w:numFmt w:val="bullet"/>
      <w:lvlText w:val="•"/>
      <w:lvlJc w:val="left"/>
      <w:pPr>
        <w:ind w:left="4510" w:hanging="567"/>
      </w:pPr>
      <w:rPr>
        <w:rFonts w:hint="default"/>
      </w:rPr>
    </w:lvl>
    <w:lvl w:ilvl="7">
      <w:numFmt w:val="bullet"/>
      <w:lvlText w:val="•"/>
      <w:lvlJc w:val="left"/>
      <w:pPr>
        <w:ind w:left="5242" w:hanging="567"/>
      </w:pPr>
      <w:rPr>
        <w:rFonts w:hint="default"/>
      </w:rPr>
    </w:lvl>
    <w:lvl w:ilvl="8">
      <w:numFmt w:val="bullet"/>
      <w:lvlText w:val="•"/>
      <w:lvlJc w:val="left"/>
      <w:pPr>
        <w:ind w:left="5973" w:hanging="567"/>
      </w:pPr>
      <w:rPr>
        <w:rFonts w:hint="default"/>
      </w:rPr>
    </w:lvl>
  </w:abstractNum>
  <w:abstractNum w:abstractNumId="30" w15:restartNumberingAfterBreak="0">
    <w:nsid w:val="6D547830"/>
    <w:multiLevelType w:val="hybridMultilevel"/>
    <w:tmpl w:val="F0D25FB4"/>
    <w:lvl w:ilvl="0" w:tplc="FC4A57D0">
      <w:start w:val="1"/>
      <w:numFmt w:val="decimal"/>
      <w:lvlText w:val="%1."/>
      <w:lvlJc w:val="left"/>
      <w:pPr>
        <w:ind w:left="123" w:hanging="567"/>
      </w:pPr>
      <w:rPr>
        <w:rFonts w:ascii="Verdana" w:eastAsia="Times New Roman" w:hAnsi="Verdana" w:cs="Times New Roman" w:hint="default"/>
        <w:color w:val="131413"/>
        <w:spacing w:val="-7"/>
        <w:w w:val="100"/>
        <w:sz w:val="18"/>
        <w:szCs w:val="18"/>
      </w:rPr>
    </w:lvl>
    <w:lvl w:ilvl="1" w:tplc="D39C8F6C">
      <w:numFmt w:val="bullet"/>
      <w:lvlText w:val="•"/>
      <w:lvlJc w:val="left"/>
      <w:pPr>
        <w:ind w:left="851" w:hanging="567"/>
      </w:pPr>
      <w:rPr>
        <w:rFonts w:hint="default"/>
      </w:rPr>
    </w:lvl>
    <w:lvl w:ilvl="2" w:tplc="916C6E84">
      <w:numFmt w:val="bullet"/>
      <w:lvlText w:val="•"/>
      <w:lvlJc w:val="left"/>
      <w:pPr>
        <w:ind w:left="1583" w:hanging="567"/>
      </w:pPr>
      <w:rPr>
        <w:rFonts w:hint="default"/>
      </w:rPr>
    </w:lvl>
    <w:lvl w:ilvl="3" w:tplc="1F8223A2">
      <w:numFmt w:val="bullet"/>
      <w:lvlText w:val="•"/>
      <w:lvlJc w:val="left"/>
      <w:pPr>
        <w:ind w:left="2315" w:hanging="567"/>
      </w:pPr>
      <w:rPr>
        <w:rFonts w:hint="default"/>
      </w:rPr>
    </w:lvl>
    <w:lvl w:ilvl="4" w:tplc="425A040C">
      <w:numFmt w:val="bullet"/>
      <w:lvlText w:val="•"/>
      <w:lvlJc w:val="left"/>
      <w:pPr>
        <w:ind w:left="3046" w:hanging="567"/>
      </w:pPr>
      <w:rPr>
        <w:rFonts w:hint="default"/>
      </w:rPr>
    </w:lvl>
    <w:lvl w:ilvl="5" w:tplc="77AA449E">
      <w:numFmt w:val="bullet"/>
      <w:lvlText w:val="•"/>
      <w:lvlJc w:val="left"/>
      <w:pPr>
        <w:ind w:left="3778" w:hanging="567"/>
      </w:pPr>
      <w:rPr>
        <w:rFonts w:hint="default"/>
      </w:rPr>
    </w:lvl>
    <w:lvl w:ilvl="6" w:tplc="DDB87E54">
      <w:numFmt w:val="bullet"/>
      <w:lvlText w:val="•"/>
      <w:lvlJc w:val="left"/>
      <w:pPr>
        <w:ind w:left="4510" w:hanging="567"/>
      </w:pPr>
      <w:rPr>
        <w:rFonts w:hint="default"/>
      </w:rPr>
    </w:lvl>
    <w:lvl w:ilvl="7" w:tplc="003A1092">
      <w:numFmt w:val="bullet"/>
      <w:lvlText w:val="•"/>
      <w:lvlJc w:val="left"/>
      <w:pPr>
        <w:ind w:left="5242" w:hanging="567"/>
      </w:pPr>
      <w:rPr>
        <w:rFonts w:hint="default"/>
      </w:rPr>
    </w:lvl>
    <w:lvl w:ilvl="8" w:tplc="31585AEA">
      <w:numFmt w:val="bullet"/>
      <w:lvlText w:val="•"/>
      <w:lvlJc w:val="left"/>
      <w:pPr>
        <w:ind w:left="5973" w:hanging="567"/>
      </w:pPr>
      <w:rPr>
        <w:rFonts w:hint="default"/>
      </w:rPr>
    </w:lvl>
  </w:abstractNum>
  <w:num w:numId="1">
    <w:abstractNumId w:val="24"/>
  </w:num>
  <w:num w:numId="2">
    <w:abstractNumId w:val="8"/>
  </w:num>
  <w:num w:numId="3">
    <w:abstractNumId w:val="8"/>
  </w:num>
  <w:num w:numId="4">
    <w:abstractNumId w:val="3"/>
  </w:num>
  <w:num w:numId="5">
    <w:abstractNumId w:val="3"/>
  </w:num>
  <w:num w:numId="6">
    <w:abstractNumId w:val="2"/>
  </w:num>
  <w:num w:numId="7">
    <w:abstractNumId w:val="2"/>
  </w:num>
  <w:num w:numId="8">
    <w:abstractNumId w:val="1"/>
  </w:num>
  <w:num w:numId="9">
    <w:abstractNumId w:val="1"/>
  </w:num>
  <w:num w:numId="10">
    <w:abstractNumId w:val="0"/>
  </w:num>
  <w:num w:numId="11">
    <w:abstractNumId w:val="0"/>
  </w:num>
  <w:num w:numId="12">
    <w:abstractNumId w:val="9"/>
  </w:num>
  <w:num w:numId="13">
    <w:abstractNumId w:val="21"/>
  </w:num>
  <w:num w:numId="14">
    <w:abstractNumId w:val="7"/>
  </w:num>
  <w:num w:numId="15">
    <w:abstractNumId w:val="21"/>
  </w:num>
  <w:num w:numId="16">
    <w:abstractNumId w:val="6"/>
  </w:num>
  <w:num w:numId="17">
    <w:abstractNumId w:val="21"/>
  </w:num>
  <w:num w:numId="18">
    <w:abstractNumId w:val="5"/>
  </w:num>
  <w:num w:numId="19">
    <w:abstractNumId w:val="21"/>
  </w:num>
  <w:num w:numId="20">
    <w:abstractNumId w:val="4"/>
  </w:num>
  <w:num w:numId="21">
    <w:abstractNumId w:val="21"/>
  </w:num>
  <w:num w:numId="22">
    <w:abstractNumId w:val="21"/>
  </w:num>
  <w:num w:numId="23">
    <w:abstractNumId w:val="25"/>
  </w:num>
  <w:num w:numId="24">
    <w:abstractNumId w:val="24"/>
  </w:num>
  <w:num w:numId="25">
    <w:abstractNumId w:val="24"/>
  </w:num>
  <w:num w:numId="26">
    <w:abstractNumId w:val="24"/>
  </w:num>
  <w:num w:numId="27">
    <w:abstractNumId w:val="24"/>
  </w:num>
  <w:num w:numId="28">
    <w:abstractNumId w:val="24"/>
  </w:num>
  <w:num w:numId="29">
    <w:abstractNumId w:val="24"/>
  </w:num>
  <w:num w:numId="30">
    <w:abstractNumId w:val="24"/>
  </w:num>
  <w:num w:numId="31">
    <w:abstractNumId w:val="24"/>
  </w:num>
  <w:num w:numId="32">
    <w:abstractNumId w:val="24"/>
  </w:num>
  <w:num w:numId="33">
    <w:abstractNumId w:val="19"/>
  </w:num>
  <w:num w:numId="34">
    <w:abstractNumId w:val="30"/>
  </w:num>
  <w:num w:numId="35">
    <w:abstractNumId w:val="17"/>
  </w:num>
  <w:num w:numId="36">
    <w:abstractNumId w:val="22"/>
  </w:num>
  <w:num w:numId="37">
    <w:abstractNumId w:val="23"/>
  </w:num>
  <w:num w:numId="38">
    <w:abstractNumId w:val="26"/>
  </w:num>
  <w:num w:numId="39">
    <w:abstractNumId w:val="29"/>
  </w:num>
  <w:num w:numId="40">
    <w:abstractNumId w:val="15"/>
  </w:num>
  <w:num w:numId="41">
    <w:abstractNumId w:val="20"/>
  </w:num>
  <w:num w:numId="42">
    <w:abstractNumId w:val="27"/>
  </w:num>
  <w:num w:numId="43">
    <w:abstractNumId w:val="10"/>
  </w:num>
  <w:num w:numId="44">
    <w:abstractNumId w:val="14"/>
  </w:num>
  <w:num w:numId="45">
    <w:abstractNumId w:val="13"/>
  </w:num>
  <w:num w:numId="46">
    <w:abstractNumId w:val="28"/>
  </w:num>
  <w:num w:numId="47">
    <w:abstractNumId w:val="11"/>
  </w:num>
  <w:num w:numId="48">
    <w:abstractNumId w:val="16"/>
  </w:num>
  <w:num w:numId="49">
    <w:abstractNumId w:val="18"/>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567"/>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E64"/>
    <w:rsid w:val="00076F7E"/>
    <w:rsid w:val="00093B8A"/>
    <w:rsid w:val="00094E99"/>
    <w:rsid w:val="000A61DD"/>
    <w:rsid w:val="000C08C1"/>
    <w:rsid w:val="000D173E"/>
    <w:rsid w:val="000D6D9B"/>
    <w:rsid w:val="001414DD"/>
    <w:rsid w:val="001674BE"/>
    <w:rsid w:val="001E4522"/>
    <w:rsid w:val="002125B6"/>
    <w:rsid w:val="00252E64"/>
    <w:rsid w:val="002B5154"/>
    <w:rsid w:val="002B64A8"/>
    <w:rsid w:val="00337F17"/>
    <w:rsid w:val="003A2F6F"/>
    <w:rsid w:val="003C0CED"/>
    <w:rsid w:val="003C678B"/>
    <w:rsid w:val="003E77E2"/>
    <w:rsid w:val="003F7A19"/>
    <w:rsid w:val="00402074"/>
    <w:rsid w:val="004041A6"/>
    <w:rsid w:val="004050FB"/>
    <w:rsid w:val="0041250B"/>
    <w:rsid w:val="00453A88"/>
    <w:rsid w:val="0046212F"/>
    <w:rsid w:val="00467EAB"/>
    <w:rsid w:val="00481324"/>
    <w:rsid w:val="00482615"/>
    <w:rsid w:val="004A6853"/>
    <w:rsid w:val="004B7A7C"/>
    <w:rsid w:val="004E4C15"/>
    <w:rsid w:val="004F046B"/>
    <w:rsid w:val="004F510F"/>
    <w:rsid w:val="00503D18"/>
    <w:rsid w:val="00532B8F"/>
    <w:rsid w:val="00542EEF"/>
    <w:rsid w:val="00581D04"/>
    <w:rsid w:val="005C357E"/>
    <w:rsid w:val="005F72F9"/>
    <w:rsid w:val="00664201"/>
    <w:rsid w:val="00682D93"/>
    <w:rsid w:val="006A30A9"/>
    <w:rsid w:val="006A4D04"/>
    <w:rsid w:val="006B62F7"/>
    <w:rsid w:val="006B74FF"/>
    <w:rsid w:val="006D38DC"/>
    <w:rsid w:val="006D47BF"/>
    <w:rsid w:val="006D78B5"/>
    <w:rsid w:val="006F1AAF"/>
    <w:rsid w:val="00745F71"/>
    <w:rsid w:val="007609AF"/>
    <w:rsid w:val="00795AA0"/>
    <w:rsid w:val="007A5AC6"/>
    <w:rsid w:val="007F7530"/>
    <w:rsid w:val="0081466D"/>
    <w:rsid w:val="00835662"/>
    <w:rsid w:val="008A6BA9"/>
    <w:rsid w:val="008B63F8"/>
    <w:rsid w:val="008F7312"/>
    <w:rsid w:val="0090347B"/>
    <w:rsid w:val="00911C1A"/>
    <w:rsid w:val="0093070D"/>
    <w:rsid w:val="0094616E"/>
    <w:rsid w:val="0099574D"/>
    <w:rsid w:val="00996305"/>
    <w:rsid w:val="009D51AF"/>
    <w:rsid w:val="009E0E6C"/>
    <w:rsid w:val="009F11D8"/>
    <w:rsid w:val="00A10038"/>
    <w:rsid w:val="00A255A3"/>
    <w:rsid w:val="00A41055"/>
    <w:rsid w:val="00A449C7"/>
    <w:rsid w:val="00A83C42"/>
    <w:rsid w:val="00A864A1"/>
    <w:rsid w:val="00AA7DD8"/>
    <w:rsid w:val="00AB4D6A"/>
    <w:rsid w:val="00AF3F36"/>
    <w:rsid w:val="00B32E54"/>
    <w:rsid w:val="00B34668"/>
    <w:rsid w:val="00B63CA6"/>
    <w:rsid w:val="00B74510"/>
    <w:rsid w:val="00BC06C7"/>
    <w:rsid w:val="00C263C1"/>
    <w:rsid w:val="00C94E5F"/>
    <w:rsid w:val="00CD18A4"/>
    <w:rsid w:val="00CD51F7"/>
    <w:rsid w:val="00CE626A"/>
    <w:rsid w:val="00CF7D5E"/>
    <w:rsid w:val="00D83ECA"/>
    <w:rsid w:val="00DC1688"/>
    <w:rsid w:val="00DD55C8"/>
    <w:rsid w:val="00DE25F0"/>
    <w:rsid w:val="00DE6C7C"/>
    <w:rsid w:val="00DF07C4"/>
    <w:rsid w:val="00E14308"/>
    <w:rsid w:val="00E2344B"/>
    <w:rsid w:val="00E26931"/>
    <w:rsid w:val="00EA5259"/>
    <w:rsid w:val="00EF19A9"/>
    <w:rsid w:val="00F36802"/>
    <w:rsid w:val="00F37B03"/>
    <w:rsid w:val="00F516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19620F1"/>
  <w15:chartTrackingRefBased/>
  <w15:docId w15:val="{F6532DDF-AAD7-4F11-8A5A-AF18644E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0D"/>
    <w:pPr>
      <w:spacing w:after="0" w:line="240" w:lineRule="auto"/>
      <w:jc w:val="both"/>
    </w:pPr>
    <w:rPr>
      <w:rFonts w:ascii="Verdana" w:hAnsi="Verdana"/>
      <w:sz w:val="18"/>
    </w:rPr>
  </w:style>
  <w:style w:type="paragraph" w:styleId="Heading1">
    <w:name w:val="heading 1"/>
    <w:basedOn w:val="Normal"/>
    <w:next w:val="Heading2"/>
    <w:link w:val="Heading1Char"/>
    <w:uiPriority w:val="9"/>
    <w:qFormat/>
    <w:rsid w:val="00503D18"/>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503D18"/>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503D18"/>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503D18"/>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503D18"/>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03D18"/>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41250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41250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1250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Acronym">
    <w:name w:val="HTML Acronym"/>
    <w:basedOn w:val="DefaultParagraphFont"/>
    <w:uiPriority w:val="99"/>
    <w:semiHidden/>
    <w:unhideWhenUsed/>
    <w:rsid w:val="0041250B"/>
  </w:style>
  <w:style w:type="paragraph" w:customStyle="1" w:styleId="Answer">
    <w:name w:val="Answer"/>
    <w:basedOn w:val="Normal"/>
    <w:link w:val="AnswerChar"/>
    <w:uiPriority w:val="6"/>
    <w:qFormat/>
    <w:rsid w:val="0041250B"/>
    <w:pPr>
      <w:spacing w:after="240"/>
      <w:ind w:left="1077"/>
    </w:pPr>
    <w:rPr>
      <w:rFonts w:eastAsia="Calibri" w:cs="Times New Roman"/>
    </w:rPr>
  </w:style>
  <w:style w:type="character" w:customStyle="1" w:styleId="AnswerChar">
    <w:name w:val="Answer Char"/>
    <w:link w:val="Answer"/>
    <w:uiPriority w:val="6"/>
    <w:rsid w:val="0041250B"/>
    <w:rPr>
      <w:rFonts w:ascii="Verdana" w:eastAsia="Calibri" w:hAnsi="Verdana" w:cs="Times New Roman"/>
      <w:sz w:val="18"/>
    </w:rPr>
  </w:style>
  <w:style w:type="paragraph" w:styleId="CommentText">
    <w:name w:val="annotation text"/>
    <w:basedOn w:val="Normal"/>
    <w:link w:val="CommentTextChar"/>
    <w:uiPriority w:val="99"/>
    <w:unhideWhenUsed/>
    <w:rsid w:val="0041250B"/>
    <w:rPr>
      <w:sz w:val="20"/>
      <w:szCs w:val="20"/>
    </w:rPr>
  </w:style>
  <w:style w:type="character" w:customStyle="1" w:styleId="CommentTextChar">
    <w:name w:val="Comment Text Char"/>
    <w:basedOn w:val="DefaultParagraphFont"/>
    <w:link w:val="CommentText"/>
    <w:uiPriority w:val="99"/>
    <w:rsid w:val="0041250B"/>
    <w:rPr>
      <w:rFonts w:ascii="Verdana" w:hAnsi="Verdana"/>
      <w:sz w:val="20"/>
      <w:szCs w:val="20"/>
    </w:rPr>
  </w:style>
  <w:style w:type="paragraph" w:styleId="CommentSubject">
    <w:name w:val="annotation subject"/>
    <w:basedOn w:val="CommentText"/>
    <w:next w:val="CommentText"/>
    <w:link w:val="CommentSubjectChar"/>
    <w:uiPriority w:val="99"/>
    <w:unhideWhenUsed/>
    <w:rsid w:val="0041250B"/>
    <w:rPr>
      <w:b/>
      <w:bCs/>
    </w:rPr>
  </w:style>
  <w:style w:type="character" w:customStyle="1" w:styleId="CommentSubjectChar">
    <w:name w:val="Comment Subject Char"/>
    <w:basedOn w:val="CommentTextChar"/>
    <w:link w:val="CommentSubject"/>
    <w:uiPriority w:val="99"/>
    <w:rsid w:val="0041250B"/>
    <w:rPr>
      <w:rFonts w:ascii="Verdana" w:hAnsi="Verdana"/>
      <w:b/>
      <w:bCs/>
      <w:sz w:val="20"/>
      <w:szCs w:val="20"/>
    </w:rPr>
  </w:style>
  <w:style w:type="paragraph" w:styleId="Bibliography">
    <w:name w:val="Bibliography"/>
    <w:basedOn w:val="Normal"/>
    <w:next w:val="Normal"/>
    <w:uiPriority w:val="49"/>
    <w:semiHidden/>
    <w:unhideWhenUsed/>
    <w:rsid w:val="0041250B"/>
  </w:style>
  <w:style w:type="paragraph" w:styleId="Closing">
    <w:name w:val="Closing"/>
    <w:basedOn w:val="Normal"/>
    <w:link w:val="ClosingChar"/>
    <w:uiPriority w:val="99"/>
    <w:semiHidden/>
    <w:unhideWhenUsed/>
    <w:rsid w:val="0041250B"/>
    <w:pPr>
      <w:ind w:left="4252"/>
    </w:pPr>
  </w:style>
  <w:style w:type="character" w:customStyle="1" w:styleId="ClosingChar">
    <w:name w:val="Closing Char"/>
    <w:basedOn w:val="DefaultParagraphFont"/>
    <w:link w:val="Closing"/>
    <w:uiPriority w:val="99"/>
    <w:semiHidden/>
    <w:rsid w:val="0041250B"/>
    <w:rPr>
      <w:rFonts w:ascii="Verdana" w:hAnsi="Verdana"/>
      <w:sz w:val="18"/>
    </w:rPr>
  </w:style>
  <w:style w:type="paragraph" w:styleId="Quote">
    <w:name w:val="Quote"/>
    <w:basedOn w:val="Normal"/>
    <w:next w:val="Normal"/>
    <w:link w:val="QuoteChar"/>
    <w:uiPriority w:val="59"/>
    <w:unhideWhenUsed/>
    <w:qFormat/>
    <w:rsid w:val="0041250B"/>
    <w:rPr>
      <w:i/>
      <w:iCs/>
      <w:color w:val="000000" w:themeColor="text1"/>
    </w:rPr>
  </w:style>
  <w:style w:type="character" w:customStyle="1" w:styleId="QuoteChar">
    <w:name w:val="Quote Char"/>
    <w:basedOn w:val="DefaultParagraphFont"/>
    <w:link w:val="Quote"/>
    <w:uiPriority w:val="59"/>
    <w:rsid w:val="0041250B"/>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1250B"/>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1250B"/>
    <w:rPr>
      <w:rFonts w:ascii="Verdana" w:hAnsi="Verdana"/>
      <w:b/>
      <w:bCs/>
      <w:i/>
      <w:iCs/>
      <w:color w:val="4472C4" w:themeColor="accent1"/>
      <w:sz w:val="18"/>
    </w:rPr>
  </w:style>
  <w:style w:type="character" w:styleId="HTMLCite">
    <w:name w:val="HTML Cite"/>
    <w:basedOn w:val="DefaultParagraphFont"/>
    <w:uiPriority w:val="99"/>
    <w:semiHidden/>
    <w:unhideWhenUsed/>
    <w:rsid w:val="0041250B"/>
    <w:rPr>
      <w:i/>
      <w:iCs/>
    </w:rPr>
  </w:style>
  <w:style w:type="character" w:styleId="HTMLCode">
    <w:name w:val="HTML Code"/>
    <w:basedOn w:val="DefaultParagraphFont"/>
    <w:uiPriority w:val="99"/>
    <w:semiHidden/>
    <w:unhideWhenUsed/>
    <w:rsid w:val="0041250B"/>
    <w:rPr>
      <w:rFonts w:ascii="Consolas" w:hAnsi="Consolas" w:cs="Consolas"/>
      <w:sz w:val="20"/>
      <w:szCs w:val="20"/>
    </w:rPr>
  </w:style>
  <w:style w:type="paragraph" w:styleId="ListContinue">
    <w:name w:val="List Continue"/>
    <w:basedOn w:val="Normal"/>
    <w:uiPriority w:val="99"/>
    <w:semiHidden/>
    <w:unhideWhenUsed/>
    <w:rsid w:val="0041250B"/>
    <w:pPr>
      <w:spacing w:after="120"/>
      <w:ind w:left="283"/>
      <w:contextualSpacing/>
    </w:pPr>
  </w:style>
  <w:style w:type="paragraph" w:styleId="ListContinue2">
    <w:name w:val="List Continue 2"/>
    <w:basedOn w:val="Normal"/>
    <w:uiPriority w:val="99"/>
    <w:semiHidden/>
    <w:unhideWhenUsed/>
    <w:rsid w:val="0041250B"/>
    <w:pPr>
      <w:spacing w:after="120"/>
      <w:ind w:left="566"/>
      <w:contextualSpacing/>
    </w:pPr>
  </w:style>
  <w:style w:type="paragraph" w:styleId="ListContinue3">
    <w:name w:val="List Continue 3"/>
    <w:basedOn w:val="Normal"/>
    <w:uiPriority w:val="99"/>
    <w:semiHidden/>
    <w:unhideWhenUsed/>
    <w:rsid w:val="0041250B"/>
    <w:pPr>
      <w:spacing w:after="120"/>
      <w:ind w:left="849"/>
      <w:contextualSpacing/>
    </w:pPr>
  </w:style>
  <w:style w:type="paragraph" w:styleId="ListContinue4">
    <w:name w:val="List Continue 4"/>
    <w:basedOn w:val="Normal"/>
    <w:uiPriority w:val="99"/>
    <w:semiHidden/>
    <w:unhideWhenUsed/>
    <w:rsid w:val="0041250B"/>
    <w:pPr>
      <w:spacing w:after="120"/>
      <w:ind w:left="1132"/>
      <w:contextualSpacing/>
    </w:pPr>
  </w:style>
  <w:style w:type="paragraph" w:styleId="ListContinue5">
    <w:name w:val="List Continue 5"/>
    <w:basedOn w:val="Normal"/>
    <w:uiPriority w:val="99"/>
    <w:semiHidden/>
    <w:unhideWhenUsed/>
    <w:rsid w:val="0041250B"/>
    <w:pPr>
      <w:spacing w:after="120"/>
      <w:ind w:left="1415"/>
      <w:contextualSpacing/>
    </w:pPr>
  </w:style>
  <w:style w:type="character" w:styleId="HTMLDefinition">
    <w:name w:val="HTML Definition"/>
    <w:basedOn w:val="DefaultParagraphFont"/>
    <w:uiPriority w:val="99"/>
    <w:semiHidden/>
    <w:unhideWhenUsed/>
    <w:rsid w:val="0041250B"/>
    <w:rPr>
      <w:i/>
      <w:iCs/>
    </w:rPr>
  </w:style>
  <w:style w:type="paragraph" w:styleId="Caption">
    <w:name w:val="caption"/>
    <w:basedOn w:val="Normal"/>
    <w:next w:val="Normal"/>
    <w:uiPriority w:val="6"/>
    <w:qFormat/>
    <w:rsid w:val="0041250B"/>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1250B"/>
    <w:rPr>
      <w:i/>
      <w:iCs/>
    </w:rPr>
  </w:style>
  <w:style w:type="character" w:customStyle="1" w:styleId="HTMLAddressChar">
    <w:name w:val="HTML Address Char"/>
    <w:basedOn w:val="DefaultParagraphFont"/>
    <w:link w:val="HTMLAddress"/>
    <w:uiPriority w:val="99"/>
    <w:semiHidden/>
    <w:rsid w:val="0041250B"/>
    <w:rPr>
      <w:rFonts w:ascii="Verdana" w:hAnsi="Verdana"/>
      <w:i/>
      <w:iCs/>
      <w:sz w:val="18"/>
    </w:rPr>
  </w:style>
  <w:style w:type="paragraph" w:styleId="EnvelopeAddress">
    <w:name w:val="envelope address"/>
    <w:basedOn w:val="Normal"/>
    <w:uiPriority w:val="99"/>
    <w:semiHidden/>
    <w:unhideWhenUsed/>
    <w:rsid w:val="0041250B"/>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1250B"/>
    <w:rPr>
      <w:rFonts w:ascii="Consolas" w:hAnsi="Consolas" w:cs="Consolas"/>
      <w:sz w:val="24"/>
      <w:szCs w:val="24"/>
    </w:rPr>
  </w:style>
  <w:style w:type="paragraph" w:styleId="Header">
    <w:name w:val="header"/>
    <w:basedOn w:val="Normal"/>
    <w:link w:val="HeaderChar"/>
    <w:uiPriority w:val="99"/>
    <w:rsid w:val="0041250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99"/>
    <w:rsid w:val="0041250B"/>
    <w:rPr>
      <w:rFonts w:ascii="Verdana" w:eastAsia="Calibri" w:hAnsi="Verdana" w:cs="Times New Roman"/>
      <w:sz w:val="18"/>
      <w:szCs w:val="18"/>
      <w:lang w:eastAsia="en-GB"/>
    </w:rPr>
  </w:style>
  <w:style w:type="paragraph" w:styleId="TOAHeading">
    <w:name w:val="toa heading"/>
    <w:basedOn w:val="Normal"/>
    <w:next w:val="Normal"/>
    <w:uiPriority w:val="39"/>
    <w:rsid w:val="0041250B"/>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1250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250B"/>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1250B"/>
  </w:style>
  <w:style w:type="character" w:customStyle="1" w:styleId="NoteHeadingChar">
    <w:name w:val="Note Heading Char"/>
    <w:basedOn w:val="DefaultParagraphFont"/>
    <w:link w:val="NoteHeading"/>
    <w:uiPriority w:val="99"/>
    <w:semiHidden/>
    <w:rsid w:val="0041250B"/>
    <w:rPr>
      <w:rFonts w:ascii="Verdana" w:hAnsi="Verdana"/>
      <w:sz w:val="18"/>
    </w:rPr>
  </w:style>
  <w:style w:type="character" w:styleId="Emphasis">
    <w:name w:val="Emphasis"/>
    <w:basedOn w:val="DefaultParagraphFont"/>
    <w:uiPriority w:val="99"/>
    <w:unhideWhenUsed/>
    <w:qFormat/>
    <w:rsid w:val="0041250B"/>
    <w:rPr>
      <w:i/>
      <w:iCs/>
    </w:rPr>
  </w:style>
  <w:style w:type="character" w:styleId="IntenseEmphasis">
    <w:name w:val="Intense Emphasis"/>
    <w:basedOn w:val="DefaultParagraphFont"/>
    <w:uiPriority w:val="99"/>
    <w:unhideWhenUsed/>
    <w:qFormat/>
    <w:rsid w:val="0041250B"/>
    <w:rPr>
      <w:b/>
      <w:bCs/>
      <w:i/>
      <w:iCs/>
      <w:color w:val="4472C4" w:themeColor="accent1"/>
    </w:rPr>
  </w:style>
  <w:style w:type="character" w:styleId="SubtleEmphasis">
    <w:name w:val="Subtle Emphasis"/>
    <w:basedOn w:val="DefaultParagraphFont"/>
    <w:uiPriority w:val="99"/>
    <w:unhideWhenUsed/>
    <w:qFormat/>
    <w:rsid w:val="0041250B"/>
    <w:rPr>
      <w:i/>
      <w:iCs/>
      <w:color w:val="808080" w:themeColor="text1" w:themeTint="7F"/>
    </w:rPr>
  </w:style>
  <w:style w:type="paragraph" w:styleId="Date">
    <w:name w:val="Date"/>
    <w:basedOn w:val="Normal"/>
    <w:next w:val="Normal"/>
    <w:link w:val="DateChar"/>
    <w:uiPriority w:val="99"/>
    <w:semiHidden/>
    <w:unhideWhenUsed/>
    <w:rsid w:val="0041250B"/>
  </w:style>
  <w:style w:type="character" w:customStyle="1" w:styleId="DateChar">
    <w:name w:val="Date Char"/>
    <w:basedOn w:val="DefaultParagraphFont"/>
    <w:link w:val="Date"/>
    <w:uiPriority w:val="99"/>
    <w:semiHidden/>
    <w:rsid w:val="0041250B"/>
    <w:rPr>
      <w:rFonts w:ascii="Verdana" w:hAnsi="Verdana"/>
      <w:sz w:val="18"/>
    </w:rPr>
  </w:style>
  <w:style w:type="paragraph" w:styleId="Signature">
    <w:name w:val="Signature"/>
    <w:basedOn w:val="Normal"/>
    <w:link w:val="SignatureChar"/>
    <w:uiPriority w:val="99"/>
    <w:semiHidden/>
    <w:unhideWhenUsed/>
    <w:rsid w:val="0041250B"/>
    <w:pPr>
      <w:ind w:left="4252"/>
    </w:pPr>
  </w:style>
  <w:style w:type="character" w:customStyle="1" w:styleId="SignatureChar">
    <w:name w:val="Signature Char"/>
    <w:basedOn w:val="DefaultParagraphFont"/>
    <w:link w:val="Signature"/>
    <w:uiPriority w:val="99"/>
    <w:semiHidden/>
    <w:rsid w:val="0041250B"/>
    <w:rPr>
      <w:rFonts w:ascii="Verdana" w:hAnsi="Verdana"/>
      <w:sz w:val="18"/>
    </w:rPr>
  </w:style>
  <w:style w:type="paragraph" w:styleId="E-mailSignature">
    <w:name w:val="E-mail Signature"/>
    <w:basedOn w:val="Normal"/>
    <w:link w:val="E-mailSignatureChar"/>
    <w:uiPriority w:val="99"/>
    <w:semiHidden/>
    <w:unhideWhenUsed/>
    <w:rsid w:val="0041250B"/>
  </w:style>
  <w:style w:type="character" w:customStyle="1" w:styleId="E-mailSignatureChar">
    <w:name w:val="E-mail Signature Char"/>
    <w:basedOn w:val="DefaultParagraphFont"/>
    <w:link w:val="E-mailSignature"/>
    <w:uiPriority w:val="99"/>
    <w:semiHidden/>
    <w:rsid w:val="0041250B"/>
    <w:rPr>
      <w:rFonts w:ascii="Verdana" w:hAnsi="Verdana"/>
      <w:sz w:val="18"/>
    </w:rPr>
  </w:style>
  <w:style w:type="paragraph" w:customStyle="1" w:styleId="FollowUp">
    <w:name w:val="FollowUp"/>
    <w:basedOn w:val="Normal"/>
    <w:link w:val="FollowUpChar"/>
    <w:uiPriority w:val="6"/>
    <w:qFormat/>
    <w:rsid w:val="0041250B"/>
    <w:pPr>
      <w:spacing w:after="240"/>
      <w:ind w:left="720"/>
    </w:pPr>
    <w:rPr>
      <w:rFonts w:eastAsia="Calibri" w:cs="Times New Roman"/>
      <w:i/>
    </w:rPr>
  </w:style>
  <w:style w:type="character" w:customStyle="1" w:styleId="FollowUpChar">
    <w:name w:val="FollowUp Char"/>
    <w:link w:val="FollowUp"/>
    <w:uiPriority w:val="6"/>
    <w:rsid w:val="0041250B"/>
    <w:rPr>
      <w:rFonts w:ascii="Verdana" w:eastAsia="Calibri" w:hAnsi="Verdana" w:cs="Times New Roman"/>
      <w:i/>
      <w:sz w:val="18"/>
    </w:rPr>
  </w:style>
  <w:style w:type="paragraph" w:styleId="FootnoteText">
    <w:name w:val="footnote text"/>
    <w:basedOn w:val="Normal"/>
    <w:link w:val="FootnoteTextChar"/>
    <w:uiPriority w:val="5"/>
    <w:rsid w:val="0041250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41250B"/>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1250B"/>
    <w:pPr>
      <w:ind w:left="567" w:right="567" w:firstLine="0"/>
    </w:pPr>
  </w:style>
  <w:style w:type="character" w:styleId="Hyperlink">
    <w:name w:val="Hyperlink"/>
    <w:basedOn w:val="DefaultParagraphFont"/>
    <w:uiPriority w:val="9"/>
    <w:unhideWhenUsed/>
    <w:rsid w:val="0041250B"/>
    <w:rPr>
      <w:color w:val="0563C1" w:themeColor="hyperlink"/>
      <w:u w:val="single"/>
    </w:rPr>
  </w:style>
  <w:style w:type="character" w:styleId="FollowedHyperlink">
    <w:name w:val="FollowedHyperlink"/>
    <w:basedOn w:val="DefaultParagraphFont"/>
    <w:uiPriority w:val="9"/>
    <w:unhideWhenUsed/>
    <w:rsid w:val="0041250B"/>
    <w:rPr>
      <w:color w:val="954F72" w:themeColor="followedHyperlink"/>
      <w:u w:val="single"/>
    </w:rPr>
  </w:style>
  <w:style w:type="paragraph" w:styleId="HTMLPreformatted">
    <w:name w:val="HTML Preformatted"/>
    <w:basedOn w:val="Normal"/>
    <w:link w:val="HTMLPreformattedChar"/>
    <w:uiPriority w:val="99"/>
    <w:semiHidden/>
    <w:unhideWhenUsed/>
    <w:rsid w:val="0041250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1250B"/>
    <w:rPr>
      <w:rFonts w:ascii="Consolas" w:hAnsi="Consolas" w:cs="Consolas"/>
      <w:sz w:val="20"/>
      <w:szCs w:val="20"/>
    </w:rPr>
  </w:style>
  <w:style w:type="paragraph" w:styleId="Index1">
    <w:name w:val="index 1"/>
    <w:basedOn w:val="Normal"/>
    <w:next w:val="Normal"/>
    <w:autoRedefine/>
    <w:uiPriority w:val="99"/>
    <w:semiHidden/>
    <w:unhideWhenUsed/>
    <w:rsid w:val="0041250B"/>
    <w:pPr>
      <w:ind w:left="180" w:hanging="180"/>
    </w:pPr>
  </w:style>
  <w:style w:type="paragraph" w:styleId="Index2">
    <w:name w:val="index 2"/>
    <w:basedOn w:val="Normal"/>
    <w:next w:val="Normal"/>
    <w:autoRedefine/>
    <w:uiPriority w:val="99"/>
    <w:semiHidden/>
    <w:unhideWhenUsed/>
    <w:rsid w:val="0041250B"/>
    <w:pPr>
      <w:ind w:left="360" w:hanging="180"/>
    </w:pPr>
  </w:style>
  <w:style w:type="paragraph" w:styleId="Index3">
    <w:name w:val="index 3"/>
    <w:basedOn w:val="Normal"/>
    <w:next w:val="Normal"/>
    <w:autoRedefine/>
    <w:uiPriority w:val="99"/>
    <w:semiHidden/>
    <w:unhideWhenUsed/>
    <w:rsid w:val="0041250B"/>
    <w:pPr>
      <w:ind w:left="540" w:hanging="180"/>
    </w:pPr>
  </w:style>
  <w:style w:type="paragraph" w:styleId="Index4">
    <w:name w:val="index 4"/>
    <w:basedOn w:val="Normal"/>
    <w:next w:val="Normal"/>
    <w:autoRedefine/>
    <w:uiPriority w:val="99"/>
    <w:semiHidden/>
    <w:unhideWhenUsed/>
    <w:rsid w:val="0041250B"/>
    <w:pPr>
      <w:ind w:left="720" w:hanging="180"/>
    </w:pPr>
  </w:style>
  <w:style w:type="paragraph" w:styleId="Index5">
    <w:name w:val="index 5"/>
    <w:basedOn w:val="Normal"/>
    <w:next w:val="Normal"/>
    <w:autoRedefine/>
    <w:uiPriority w:val="99"/>
    <w:semiHidden/>
    <w:unhideWhenUsed/>
    <w:rsid w:val="0041250B"/>
    <w:pPr>
      <w:ind w:left="900" w:hanging="180"/>
    </w:pPr>
  </w:style>
  <w:style w:type="paragraph" w:styleId="Index6">
    <w:name w:val="index 6"/>
    <w:basedOn w:val="Normal"/>
    <w:next w:val="Normal"/>
    <w:autoRedefine/>
    <w:uiPriority w:val="99"/>
    <w:semiHidden/>
    <w:unhideWhenUsed/>
    <w:rsid w:val="0041250B"/>
    <w:pPr>
      <w:ind w:left="1080" w:hanging="180"/>
    </w:pPr>
  </w:style>
  <w:style w:type="paragraph" w:styleId="Index7">
    <w:name w:val="index 7"/>
    <w:basedOn w:val="Normal"/>
    <w:next w:val="Normal"/>
    <w:autoRedefine/>
    <w:uiPriority w:val="99"/>
    <w:semiHidden/>
    <w:unhideWhenUsed/>
    <w:rsid w:val="0041250B"/>
    <w:pPr>
      <w:ind w:left="1260" w:hanging="180"/>
    </w:pPr>
  </w:style>
  <w:style w:type="paragraph" w:styleId="Index8">
    <w:name w:val="index 8"/>
    <w:basedOn w:val="Normal"/>
    <w:next w:val="Normal"/>
    <w:autoRedefine/>
    <w:uiPriority w:val="99"/>
    <w:semiHidden/>
    <w:unhideWhenUsed/>
    <w:rsid w:val="0041250B"/>
    <w:pPr>
      <w:ind w:left="1440" w:hanging="180"/>
    </w:pPr>
  </w:style>
  <w:style w:type="paragraph" w:styleId="Index9">
    <w:name w:val="index 9"/>
    <w:basedOn w:val="Normal"/>
    <w:next w:val="Normal"/>
    <w:autoRedefine/>
    <w:uiPriority w:val="99"/>
    <w:semiHidden/>
    <w:unhideWhenUsed/>
    <w:rsid w:val="0041250B"/>
    <w:pPr>
      <w:ind w:left="1620" w:hanging="180"/>
    </w:pPr>
  </w:style>
  <w:style w:type="numbering" w:customStyle="1" w:styleId="LegalHeadings">
    <w:name w:val="LegalHeadings"/>
    <w:uiPriority w:val="99"/>
    <w:rsid w:val="00503D18"/>
    <w:pPr>
      <w:numPr>
        <w:numId w:val="1"/>
      </w:numPr>
    </w:pPr>
  </w:style>
  <w:style w:type="paragraph" w:styleId="List">
    <w:name w:val="List"/>
    <w:basedOn w:val="Normal"/>
    <w:uiPriority w:val="99"/>
    <w:semiHidden/>
    <w:unhideWhenUsed/>
    <w:rsid w:val="0041250B"/>
    <w:pPr>
      <w:ind w:left="283" w:hanging="283"/>
      <w:contextualSpacing/>
    </w:pPr>
  </w:style>
  <w:style w:type="paragraph" w:styleId="List2">
    <w:name w:val="List 2"/>
    <w:basedOn w:val="Normal"/>
    <w:uiPriority w:val="99"/>
    <w:semiHidden/>
    <w:unhideWhenUsed/>
    <w:rsid w:val="0041250B"/>
    <w:pPr>
      <w:ind w:left="566" w:hanging="283"/>
      <w:contextualSpacing/>
    </w:pPr>
  </w:style>
  <w:style w:type="paragraph" w:styleId="List3">
    <w:name w:val="List 3"/>
    <w:basedOn w:val="Normal"/>
    <w:uiPriority w:val="99"/>
    <w:semiHidden/>
    <w:unhideWhenUsed/>
    <w:rsid w:val="0041250B"/>
    <w:pPr>
      <w:ind w:left="849" w:hanging="283"/>
      <w:contextualSpacing/>
    </w:pPr>
  </w:style>
  <w:style w:type="paragraph" w:styleId="List4">
    <w:name w:val="List 4"/>
    <w:basedOn w:val="Normal"/>
    <w:uiPriority w:val="99"/>
    <w:semiHidden/>
    <w:unhideWhenUsed/>
    <w:rsid w:val="0041250B"/>
    <w:pPr>
      <w:ind w:left="1132" w:hanging="283"/>
      <w:contextualSpacing/>
    </w:pPr>
  </w:style>
  <w:style w:type="paragraph" w:styleId="List5">
    <w:name w:val="List 5"/>
    <w:basedOn w:val="Normal"/>
    <w:uiPriority w:val="99"/>
    <w:semiHidden/>
    <w:unhideWhenUsed/>
    <w:rsid w:val="0041250B"/>
    <w:pPr>
      <w:ind w:left="1415" w:hanging="283"/>
      <w:contextualSpacing/>
    </w:pPr>
  </w:style>
  <w:style w:type="paragraph" w:styleId="ListNumber">
    <w:name w:val="List Number"/>
    <w:basedOn w:val="Normal"/>
    <w:uiPriority w:val="49"/>
    <w:semiHidden/>
    <w:rsid w:val="0041250B"/>
    <w:pPr>
      <w:numPr>
        <w:numId w:val="3"/>
      </w:numPr>
      <w:contextualSpacing/>
    </w:pPr>
  </w:style>
  <w:style w:type="paragraph" w:styleId="ListNumber2">
    <w:name w:val="List Number 2"/>
    <w:basedOn w:val="Normal"/>
    <w:uiPriority w:val="49"/>
    <w:semiHidden/>
    <w:rsid w:val="0041250B"/>
    <w:pPr>
      <w:numPr>
        <w:numId w:val="5"/>
      </w:numPr>
      <w:contextualSpacing/>
    </w:pPr>
  </w:style>
  <w:style w:type="paragraph" w:styleId="ListNumber3">
    <w:name w:val="List Number 3"/>
    <w:basedOn w:val="Normal"/>
    <w:uiPriority w:val="49"/>
    <w:semiHidden/>
    <w:rsid w:val="0041250B"/>
    <w:pPr>
      <w:numPr>
        <w:numId w:val="7"/>
      </w:numPr>
      <w:contextualSpacing/>
    </w:pPr>
  </w:style>
  <w:style w:type="paragraph" w:styleId="ListNumber4">
    <w:name w:val="List Number 4"/>
    <w:basedOn w:val="Normal"/>
    <w:uiPriority w:val="49"/>
    <w:semiHidden/>
    <w:rsid w:val="0041250B"/>
    <w:pPr>
      <w:numPr>
        <w:numId w:val="9"/>
      </w:numPr>
      <w:contextualSpacing/>
    </w:pPr>
  </w:style>
  <w:style w:type="paragraph" w:styleId="ListNumber5">
    <w:name w:val="List Number 5"/>
    <w:basedOn w:val="Normal"/>
    <w:uiPriority w:val="49"/>
    <w:semiHidden/>
    <w:rsid w:val="0041250B"/>
    <w:pPr>
      <w:numPr>
        <w:numId w:val="11"/>
      </w:numPr>
      <w:contextualSpacing/>
    </w:pPr>
  </w:style>
  <w:style w:type="paragraph" w:styleId="ListBullet">
    <w:name w:val="List Bullet"/>
    <w:basedOn w:val="Normal"/>
    <w:uiPriority w:val="1"/>
    <w:rsid w:val="00A10038"/>
    <w:pPr>
      <w:numPr>
        <w:numId w:val="13"/>
      </w:numPr>
      <w:spacing w:after="240"/>
    </w:pPr>
  </w:style>
  <w:style w:type="paragraph" w:styleId="ListBullet2">
    <w:name w:val="List Bullet 2"/>
    <w:basedOn w:val="Normal"/>
    <w:uiPriority w:val="1"/>
    <w:rsid w:val="00A10038"/>
    <w:pPr>
      <w:numPr>
        <w:ilvl w:val="1"/>
        <w:numId w:val="13"/>
      </w:numPr>
      <w:tabs>
        <w:tab w:val="left" w:pos="1134"/>
      </w:tabs>
      <w:spacing w:after="240"/>
    </w:pPr>
  </w:style>
  <w:style w:type="paragraph" w:styleId="ListBullet3">
    <w:name w:val="List Bullet 3"/>
    <w:basedOn w:val="Normal"/>
    <w:uiPriority w:val="1"/>
    <w:rsid w:val="00A10038"/>
    <w:pPr>
      <w:numPr>
        <w:ilvl w:val="2"/>
        <w:numId w:val="13"/>
      </w:numPr>
      <w:tabs>
        <w:tab w:val="left" w:pos="1701"/>
      </w:tabs>
      <w:spacing w:after="240"/>
    </w:pPr>
  </w:style>
  <w:style w:type="paragraph" w:styleId="ListBullet4">
    <w:name w:val="List Bullet 4"/>
    <w:basedOn w:val="Normal"/>
    <w:uiPriority w:val="1"/>
    <w:rsid w:val="00A10038"/>
    <w:pPr>
      <w:numPr>
        <w:ilvl w:val="3"/>
        <w:numId w:val="13"/>
      </w:numPr>
      <w:spacing w:after="240"/>
    </w:pPr>
  </w:style>
  <w:style w:type="paragraph" w:styleId="ListBullet5">
    <w:name w:val="List Bullet 5"/>
    <w:basedOn w:val="Normal"/>
    <w:uiPriority w:val="1"/>
    <w:rsid w:val="00A10038"/>
    <w:pPr>
      <w:numPr>
        <w:ilvl w:val="4"/>
        <w:numId w:val="13"/>
      </w:numPr>
      <w:spacing w:after="240"/>
    </w:pPr>
  </w:style>
  <w:style w:type="numbering" w:customStyle="1" w:styleId="ListBullets">
    <w:name w:val="ListBullets"/>
    <w:uiPriority w:val="99"/>
    <w:rsid w:val="00A10038"/>
    <w:pPr>
      <w:numPr>
        <w:numId w:val="13"/>
      </w:numPr>
    </w:pPr>
  </w:style>
  <w:style w:type="paragraph" w:styleId="DocumentMap">
    <w:name w:val="Document Map"/>
    <w:basedOn w:val="Normal"/>
    <w:link w:val="DocumentMapChar"/>
    <w:uiPriority w:val="99"/>
    <w:semiHidden/>
    <w:unhideWhenUsed/>
    <w:rsid w:val="0041250B"/>
    <w:rPr>
      <w:rFonts w:ascii="Tahoma" w:hAnsi="Tahoma" w:cs="Tahoma"/>
      <w:sz w:val="16"/>
      <w:szCs w:val="16"/>
    </w:rPr>
  </w:style>
  <w:style w:type="character" w:customStyle="1" w:styleId="DocumentMapChar">
    <w:name w:val="Document Map Char"/>
    <w:basedOn w:val="DefaultParagraphFont"/>
    <w:link w:val="DocumentMap"/>
    <w:uiPriority w:val="99"/>
    <w:semiHidden/>
    <w:rsid w:val="0041250B"/>
    <w:rPr>
      <w:rFonts w:ascii="Tahoma" w:hAnsi="Tahoma" w:cs="Tahoma"/>
      <w:sz w:val="16"/>
      <w:szCs w:val="16"/>
    </w:rPr>
  </w:style>
  <w:style w:type="character" w:styleId="HTMLTypewriter">
    <w:name w:val="HTML Typewriter"/>
    <w:basedOn w:val="DefaultParagraphFont"/>
    <w:uiPriority w:val="99"/>
    <w:semiHidden/>
    <w:unhideWhenUsed/>
    <w:rsid w:val="0041250B"/>
    <w:rPr>
      <w:rFonts w:ascii="Consolas" w:hAnsi="Consolas" w:cs="Consolas"/>
      <w:sz w:val="20"/>
      <w:szCs w:val="20"/>
    </w:rPr>
  </w:style>
  <w:style w:type="paragraph" w:styleId="NormalWeb">
    <w:name w:val="Normal (Web)"/>
    <w:basedOn w:val="Normal"/>
    <w:uiPriority w:val="99"/>
    <w:semiHidden/>
    <w:unhideWhenUsed/>
    <w:rsid w:val="0041250B"/>
    <w:rPr>
      <w:rFonts w:ascii="Times New Roman" w:hAnsi="Times New Roman" w:cs="Times New Roman"/>
      <w:sz w:val="24"/>
      <w:szCs w:val="24"/>
    </w:rPr>
  </w:style>
  <w:style w:type="paragraph" w:customStyle="1" w:styleId="NoteText">
    <w:name w:val="Note Text"/>
    <w:basedOn w:val="Normal"/>
    <w:uiPriority w:val="4"/>
    <w:qFormat/>
    <w:rsid w:val="0041250B"/>
    <w:pPr>
      <w:tabs>
        <w:tab w:val="left" w:pos="851"/>
      </w:tabs>
      <w:ind w:left="851" w:hanging="851"/>
      <w:jc w:val="left"/>
    </w:pPr>
    <w:rPr>
      <w:sz w:val="16"/>
    </w:rPr>
  </w:style>
  <w:style w:type="character" w:styleId="LineNumber">
    <w:name w:val="line number"/>
    <w:basedOn w:val="DefaultParagraphFont"/>
    <w:uiPriority w:val="99"/>
    <w:semiHidden/>
    <w:unhideWhenUsed/>
    <w:rsid w:val="0041250B"/>
  </w:style>
  <w:style w:type="character" w:styleId="PageNumber">
    <w:name w:val="page number"/>
    <w:basedOn w:val="DefaultParagraphFont"/>
    <w:uiPriority w:val="99"/>
    <w:semiHidden/>
    <w:unhideWhenUsed/>
    <w:rsid w:val="0041250B"/>
  </w:style>
  <w:style w:type="paragraph" w:styleId="ListParagraph">
    <w:name w:val="List Paragraph"/>
    <w:basedOn w:val="Normal"/>
    <w:uiPriority w:val="1"/>
    <w:qFormat/>
    <w:rsid w:val="0041250B"/>
    <w:pPr>
      <w:ind w:left="720"/>
      <w:contextualSpacing/>
    </w:pPr>
  </w:style>
  <w:style w:type="paragraph" w:styleId="Footer">
    <w:name w:val="footer"/>
    <w:basedOn w:val="Normal"/>
    <w:link w:val="FooterChar"/>
    <w:uiPriority w:val="3"/>
    <w:rsid w:val="0041250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1250B"/>
    <w:rPr>
      <w:rFonts w:ascii="Verdana" w:eastAsia="Calibri" w:hAnsi="Verdana" w:cs="Times New Roman"/>
      <w:sz w:val="18"/>
      <w:szCs w:val="18"/>
      <w:lang w:eastAsia="en-GB"/>
    </w:rPr>
  </w:style>
  <w:style w:type="paragraph" w:customStyle="1" w:styleId="Quotation">
    <w:name w:val="Quotation"/>
    <w:basedOn w:val="Normal"/>
    <w:uiPriority w:val="5"/>
    <w:qFormat/>
    <w:rsid w:val="0041250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41250B"/>
    <w:pPr>
      <w:spacing w:after="240"/>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1250B"/>
    <w:rPr>
      <w:sz w:val="16"/>
      <w:szCs w:val="16"/>
    </w:rPr>
  </w:style>
  <w:style w:type="character" w:styleId="EndnoteReference">
    <w:name w:val="endnote reference"/>
    <w:uiPriority w:val="49"/>
    <w:rsid w:val="0041250B"/>
    <w:rPr>
      <w:vertAlign w:val="superscript"/>
    </w:rPr>
  </w:style>
  <w:style w:type="character" w:styleId="FootnoteReference">
    <w:name w:val="footnote reference"/>
    <w:uiPriority w:val="5"/>
    <w:rsid w:val="0041250B"/>
    <w:rPr>
      <w:vertAlign w:val="superscript"/>
    </w:rPr>
  </w:style>
  <w:style w:type="character" w:styleId="IntenseReference">
    <w:name w:val="Intense Reference"/>
    <w:basedOn w:val="DefaultParagraphFont"/>
    <w:uiPriority w:val="99"/>
    <w:unhideWhenUsed/>
    <w:qFormat/>
    <w:rsid w:val="0041250B"/>
    <w:rPr>
      <w:b/>
      <w:bCs/>
      <w:smallCaps/>
      <w:color w:val="ED7D31" w:themeColor="accent2"/>
      <w:spacing w:val="5"/>
      <w:u w:val="single"/>
    </w:rPr>
  </w:style>
  <w:style w:type="character" w:styleId="SubtleReference">
    <w:name w:val="Subtle Reference"/>
    <w:basedOn w:val="DefaultParagraphFont"/>
    <w:uiPriority w:val="99"/>
    <w:unhideWhenUsed/>
    <w:qFormat/>
    <w:rsid w:val="0041250B"/>
    <w:rPr>
      <w:smallCaps/>
      <w:color w:val="ED7D31" w:themeColor="accent2"/>
      <w:u w:val="single"/>
    </w:rPr>
  </w:style>
  <w:style w:type="paragraph" w:styleId="EnvelopeReturn">
    <w:name w:val="envelope return"/>
    <w:basedOn w:val="Normal"/>
    <w:uiPriority w:val="99"/>
    <w:semiHidden/>
    <w:unhideWhenUsed/>
    <w:rsid w:val="0041250B"/>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1250B"/>
  </w:style>
  <w:style w:type="character" w:customStyle="1" w:styleId="SalutationChar">
    <w:name w:val="Salutation Char"/>
    <w:basedOn w:val="DefaultParagraphFont"/>
    <w:link w:val="Salutation"/>
    <w:uiPriority w:val="99"/>
    <w:semiHidden/>
    <w:rsid w:val="0041250B"/>
    <w:rPr>
      <w:rFonts w:ascii="Verdana" w:hAnsi="Verdana"/>
      <w:sz w:val="18"/>
    </w:rPr>
  </w:style>
  <w:style w:type="paragraph" w:styleId="BodyTextIndent2">
    <w:name w:val="Body Text Indent 2"/>
    <w:basedOn w:val="Normal"/>
    <w:link w:val="BodyTextIndent2Char"/>
    <w:uiPriority w:val="99"/>
    <w:semiHidden/>
    <w:unhideWhenUsed/>
    <w:rsid w:val="0041250B"/>
    <w:pPr>
      <w:spacing w:after="120" w:line="480" w:lineRule="auto"/>
      <w:ind w:left="283"/>
    </w:pPr>
  </w:style>
  <w:style w:type="character" w:customStyle="1" w:styleId="BodyTextIndent2Char">
    <w:name w:val="Body Text Indent 2 Char"/>
    <w:basedOn w:val="DefaultParagraphFont"/>
    <w:link w:val="BodyTextIndent2"/>
    <w:uiPriority w:val="99"/>
    <w:semiHidden/>
    <w:rsid w:val="0041250B"/>
    <w:rPr>
      <w:rFonts w:ascii="Verdana" w:hAnsi="Verdana"/>
      <w:sz w:val="18"/>
    </w:rPr>
  </w:style>
  <w:style w:type="paragraph" w:styleId="BodyTextIndent3">
    <w:name w:val="Body Text Indent 3"/>
    <w:basedOn w:val="Normal"/>
    <w:link w:val="BodyTextIndent3Char"/>
    <w:uiPriority w:val="99"/>
    <w:semiHidden/>
    <w:unhideWhenUsed/>
    <w:rsid w:val="0041250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1250B"/>
    <w:rPr>
      <w:rFonts w:ascii="Verdana" w:hAnsi="Verdana"/>
      <w:sz w:val="16"/>
      <w:szCs w:val="16"/>
    </w:rPr>
  </w:style>
  <w:style w:type="paragraph" w:styleId="BodyTextIndent">
    <w:name w:val="Body Text Indent"/>
    <w:basedOn w:val="Normal"/>
    <w:link w:val="BodyTextIndentChar"/>
    <w:uiPriority w:val="99"/>
    <w:semiHidden/>
    <w:unhideWhenUsed/>
    <w:rsid w:val="0041250B"/>
    <w:pPr>
      <w:spacing w:after="120"/>
      <w:ind w:left="283"/>
    </w:pPr>
  </w:style>
  <w:style w:type="character" w:customStyle="1" w:styleId="BodyTextIndentChar">
    <w:name w:val="Body Text Indent Char"/>
    <w:basedOn w:val="DefaultParagraphFont"/>
    <w:link w:val="BodyTextIndent"/>
    <w:uiPriority w:val="99"/>
    <w:semiHidden/>
    <w:rsid w:val="0041250B"/>
    <w:rPr>
      <w:rFonts w:ascii="Verdana" w:hAnsi="Verdana"/>
      <w:sz w:val="18"/>
    </w:rPr>
  </w:style>
  <w:style w:type="paragraph" w:styleId="NormalIndent">
    <w:name w:val="Normal Indent"/>
    <w:basedOn w:val="Normal"/>
    <w:uiPriority w:val="99"/>
    <w:semiHidden/>
    <w:unhideWhenUsed/>
    <w:rsid w:val="0041250B"/>
    <w:pPr>
      <w:ind w:left="567"/>
    </w:pPr>
  </w:style>
  <w:style w:type="paragraph" w:styleId="NoSpacing">
    <w:name w:val="No Spacing"/>
    <w:uiPriority w:val="1"/>
    <w:rsid w:val="0041250B"/>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1250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1250B"/>
    <w:rPr>
      <w:rFonts w:ascii="Verdana" w:eastAsiaTheme="majorEastAsia" w:hAnsi="Verdana" w:cstheme="majorBidi"/>
      <w:b/>
      <w:iCs/>
      <w:sz w:val="18"/>
      <w:szCs w:val="24"/>
    </w:rPr>
  </w:style>
  <w:style w:type="paragraph" w:customStyle="1" w:styleId="SummaryHeader">
    <w:name w:val="SummaryHeader"/>
    <w:basedOn w:val="Normal"/>
    <w:uiPriority w:val="4"/>
    <w:qFormat/>
    <w:rsid w:val="0041250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41250B"/>
    <w:pPr>
      <w:spacing w:after="240"/>
      <w:outlineLvl w:val="1"/>
    </w:pPr>
    <w:rPr>
      <w:b/>
      <w:color w:val="006283"/>
    </w:rPr>
  </w:style>
  <w:style w:type="paragraph" w:customStyle="1" w:styleId="SummaryText">
    <w:name w:val="SummaryText"/>
    <w:basedOn w:val="Normal"/>
    <w:uiPriority w:val="4"/>
    <w:qFormat/>
    <w:rsid w:val="0041250B"/>
    <w:pPr>
      <w:numPr>
        <w:numId w:val="23"/>
      </w:numPr>
      <w:spacing w:after="240"/>
    </w:pPr>
    <w:rPr>
      <w:rFonts w:eastAsia="Calibri" w:cs="Times New Roman"/>
    </w:rPr>
  </w:style>
  <w:style w:type="table" w:styleId="TableGrid">
    <w:name w:val="Table Grid"/>
    <w:basedOn w:val="TableNormal"/>
    <w:uiPriority w:val="59"/>
    <w:rsid w:val="0041250B"/>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1250B"/>
    <w:pPr>
      <w:tabs>
        <w:tab w:val="left" w:pos="567"/>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E4C15"/>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E4C15"/>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E4C15"/>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E4C15"/>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E4C15"/>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1250B"/>
    <w:rPr>
      <w:rFonts w:ascii="Consolas" w:hAnsi="Consolas" w:cs="Consolas"/>
      <w:sz w:val="20"/>
      <w:szCs w:val="20"/>
    </w:rPr>
  </w:style>
  <w:style w:type="paragraph" w:styleId="TableofAuthorities">
    <w:name w:val="table of authorities"/>
    <w:basedOn w:val="Normal"/>
    <w:next w:val="Normal"/>
    <w:uiPriority w:val="39"/>
    <w:rsid w:val="0041250B"/>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1250B"/>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1250B"/>
    <w:rPr>
      <w:rFonts w:ascii="Tahoma" w:hAnsi="Tahoma" w:cs="Tahoma"/>
      <w:sz w:val="16"/>
      <w:szCs w:val="16"/>
    </w:rPr>
  </w:style>
  <w:style w:type="character" w:customStyle="1" w:styleId="BalloonTextChar">
    <w:name w:val="Balloon Text Char"/>
    <w:basedOn w:val="DefaultParagraphFont"/>
    <w:link w:val="BalloonText"/>
    <w:uiPriority w:val="99"/>
    <w:semiHidden/>
    <w:rsid w:val="0041250B"/>
    <w:rPr>
      <w:rFonts w:ascii="Tahoma" w:hAnsi="Tahoma" w:cs="Tahoma"/>
      <w:sz w:val="16"/>
      <w:szCs w:val="16"/>
    </w:rPr>
  </w:style>
  <w:style w:type="character" w:styleId="PlaceholderText">
    <w:name w:val="Placeholder Text"/>
    <w:basedOn w:val="DefaultParagraphFont"/>
    <w:uiPriority w:val="99"/>
    <w:semiHidden/>
    <w:rsid w:val="0041250B"/>
    <w:rPr>
      <w:color w:val="808080"/>
    </w:rPr>
  </w:style>
  <w:style w:type="character" w:styleId="Strong">
    <w:name w:val="Strong"/>
    <w:basedOn w:val="DefaultParagraphFont"/>
    <w:uiPriority w:val="99"/>
    <w:unhideWhenUsed/>
    <w:qFormat/>
    <w:rsid w:val="0041250B"/>
    <w:rPr>
      <w:b/>
      <w:bCs/>
    </w:rPr>
  </w:style>
  <w:style w:type="paragraph" w:styleId="BodyText">
    <w:name w:val="Body Text"/>
    <w:basedOn w:val="Normal"/>
    <w:link w:val="BodyTextChar"/>
    <w:uiPriority w:val="1"/>
    <w:qFormat/>
    <w:rsid w:val="00503D18"/>
    <w:pPr>
      <w:numPr>
        <w:ilvl w:val="6"/>
        <w:numId w:val="1"/>
      </w:numPr>
      <w:spacing w:after="240"/>
    </w:pPr>
  </w:style>
  <w:style w:type="character" w:customStyle="1" w:styleId="BodyTextChar">
    <w:name w:val="Body Text Char"/>
    <w:basedOn w:val="DefaultParagraphFont"/>
    <w:link w:val="BodyText"/>
    <w:uiPriority w:val="1"/>
    <w:rsid w:val="0041250B"/>
    <w:rPr>
      <w:rFonts w:ascii="Verdana" w:hAnsi="Verdana"/>
      <w:sz w:val="18"/>
    </w:rPr>
  </w:style>
  <w:style w:type="paragraph" w:styleId="BodyText2">
    <w:name w:val="Body Text 2"/>
    <w:basedOn w:val="Normal"/>
    <w:link w:val="BodyText2Char"/>
    <w:uiPriority w:val="1"/>
    <w:qFormat/>
    <w:rsid w:val="00503D18"/>
    <w:pPr>
      <w:numPr>
        <w:ilvl w:val="7"/>
        <w:numId w:val="1"/>
      </w:numPr>
      <w:tabs>
        <w:tab w:val="left" w:pos="1134"/>
      </w:tabs>
      <w:spacing w:after="240"/>
    </w:pPr>
  </w:style>
  <w:style w:type="character" w:customStyle="1" w:styleId="BodyText2Char">
    <w:name w:val="Body Text 2 Char"/>
    <w:basedOn w:val="DefaultParagraphFont"/>
    <w:link w:val="BodyText2"/>
    <w:uiPriority w:val="1"/>
    <w:rsid w:val="00DE25F0"/>
    <w:rPr>
      <w:rFonts w:ascii="Verdana" w:hAnsi="Verdana"/>
      <w:sz w:val="18"/>
    </w:rPr>
  </w:style>
  <w:style w:type="paragraph" w:styleId="BodyText3">
    <w:name w:val="Body Text 3"/>
    <w:basedOn w:val="Normal"/>
    <w:link w:val="BodyText3Char"/>
    <w:uiPriority w:val="1"/>
    <w:qFormat/>
    <w:rsid w:val="00503D18"/>
    <w:pPr>
      <w:numPr>
        <w:ilvl w:val="8"/>
        <w:numId w:val="1"/>
      </w:numPr>
      <w:tabs>
        <w:tab w:val="left" w:pos="1701"/>
      </w:tabs>
      <w:spacing w:after="240"/>
    </w:pPr>
    <w:rPr>
      <w:szCs w:val="16"/>
    </w:rPr>
  </w:style>
  <w:style w:type="character" w:customStyle="1" w:styleId="BodyText3Char">
    <w:name w:val="Body Text 3 Char"/>
    <w:basedOn w:val="DefaultParagraphFont"/>
    <w:link w:val="BodyText3"/>
    <w:uiPriority w:val="1"/>
    <w:rsid w:val="002B64A8"/>
    <w:rPr>
      <w:rFonts w:ascii="Verdana" w:hAnsi="Verdana"/>
      <w:sz w:val="18"/>
      <w:szCs w:val="16"/>
    </w:rPr>
  </w:style>
  <w:style w:type="paragraph" w:styleId="BodyTextFirstIndent">
    <w:name w:val="Body Text First Indent"/>
    <w:basedOn w:val="BodyText"/>
    <w:link w:val="BodyTextFirstIndentChar"/>
    <w:uiPriority w:val="99"/>
    <w:semiHidden/>
    <w:unhideWhenUsed/>
    <w:rsid w:val="0041250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1250B"/>
    <w:rPr>
      <w:rFonts w:ascii="Verdana" w:hAnsi="Verdana"/>
      <w:sz w:val="18"/>
    </w:rPr>
  </w:style>
  <w:style w:type="paragraph" w:styleId="BodyTextFirstIndent2">
    <w:name w:val="Body Text First Indent 2"/>
    <w:basedOn w:val="BodyTextIndent"/>
    <w:link w:val="BodyTextFirstIndent2Char"/>
    <w:uiPriority w:val="99"/>
    <w:semiHidden/>
    <w:unhideWhenUsed/>
    <w:rsid w:val="0041250B"/>
    <w:pPr>
      <w:spacing w:after="0"/>
      <w:ind w:left="360" w:firstLine="360"/>
    </w:pPr>
  </w:style>
  <w:style w:type="character" w:customStyle="1" w:styleId="BodyTextFirstIndent2Char">
    <w:name w:val="Body Text First Indent 2 Char"/>
    <w:basedOn w:val="BodyTextIndentChar"/>
    <w:link w:val="BodyTextFirstIndent2"/>
    <w:uiPriority w:val="99"/>
    <w:semiHidden/>
    <w:rsid w:val="0041250B"/>
    <w:rPr>
      <w:rFonts w:ascii="Verdana" w:hAnsi="Verdana"/>
      <w:sz w:val="18"/>
    </w:rPr>
  </w:style>
  <w:style w:type="paragraph" w:styleId="MacroText">
    <w:name w:val="macro"/>
    <w:link w:val="MacroTextChar"/>
    <w:uiPriority w:val="99"/>
    <w:semiHidden/>
    <w:unhideWhenUsed/>
    <w:rsid w:val="0041250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1250B"/>
    <w:rPr>
      <w:rFonts w:ascii="Consolas" w:hAnsi="Consolas" w:cs="Consolas"/>
      <w:sz w:val="20"/>
      <w:szCs w:val="20"/>
    </w:rPr>
  </w:style>
  <w:style w:type="paragraph" w:styleId="EndnoteText">
    <w:name w:val="endnote text"/>
    <w:basedOn w:val="FootnoteText"/>
    <w:link w:val="EndnoteTextChar"/>
    <w:uiPriority w:val="49"/>
    <w:rsid w:val="0041250B"/>
    <w:rPr>
      <w:szCs w:val="20"/>
    </w:rPr>
  </w:style>
  <w:style w:type="character" w:customStyle="1" w:styleId="EndnoteTextChar">
    <w:name w:val="Endnote Text Char"/>
    <w:link w:val="EndnoteText"/>
    <w:uiPriority w:val="49"/>
    <w:rsid w:val="0041250B"/>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1250B"/>
    <w:rPr>
      <w:rFonts w:ascii="Consolas" w:hAnsi="Consolas" w:cs="Consolas"/>
      <w:sz w:val="21"/>
      <w:szCs w:val="21"/>
    </w:rPr>
  </w:style>
  <w:style w:type="character" w:customStyle="1" w:styleId="PlainTextChar">
    <w:name w:val="Plain Text Char"/>
    <w:basedOn w:val="DefaultParagraphFont"/>
    <w:link w:val="PlainText"/>
    <w:uiPriority w:val="99"/>
    <w:rsid w:val="0041250B"/>
    <w:rPr>
      <w:rFonts w:ascii="Consolas" w:hAnsi="Consolas" w:cs="Consolas"/>
      <w:sz w:val="21"/>
      <w:szCs w:val="21"/>
    </w:rPr>
  </w:style>
  <w:style w:type="paragraph" w:customStyle="1" w:styleId="Title2">
    <w:name w:val="Title 2"/>
    <w:basedOn w:val="Normal"/>
    <w:next w:val="Normal"/>
    <w:uiPriority w:val="5"/>
    <w:qFormat/>
    <w:rsid w:val="0041250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1250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1250B"/>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1250B"/>
    <w:pPr>
      <w:spacing w:after="240"/>
      <w:jc w:val="center"/>
    </w:pPr>
    <w:rPr>
      <w:rFonts w:eastAsia="Calibri" w:cs="Times New Roman"/>
      <w:color w:val="006283"/>
    </w:rPr>
  </w:style>
  <w:style w:type="paragraph" w:customStyle="1" w:styleId="TitlePublication">
    <w:name w:val="Title Publication"/>
    <w:basedOn w:val="Normal"/>
    <w:uiPriority w:val="49"/>
    <w:qFormat/>
    <w:rsid w:val="0041250B"/>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41250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1250B"/>
    <w:rPr>
      <w:rFonts w:ascii="Verdana" w:eastAsiaTheme="majorEastAsia" w:hAnsi="Verdana" w:cstheme="majorBidi"/>
      <w:b/>
      <w:caps/>
      <w:color w:val="006283"/>
      <w:kern w:val="28"/>
      <w:sz w:val="18"/>
      <w:szCs w:val="52"/>
    </w:rPr>
  </w:style>
  <w:style w:type="character" w:customStyle="1" w:styleId="Heading1Char">
    <w:name w:val="Heading 1 Char"/>
    <w:basedOn w:val="DefaultParagraphFont"/>
    <w:link w:val="Heading1"/>
    <w:uiPriority w:val="9"/>
    <w:rsid w:val="0041250B"/>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1250B"/>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1250B"/>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1250B"/>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1250B"/>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1250B"/>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1250B"/>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1250B"/>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1250B"/>
    <w:rPr>
      <w:rFonts w:ascii="Verdana" w:eastAsiaTheme="majorEastAsia" w:hAnsi="Verdana" w:cstheme="majorBidi"/>
      <w:b/>
      <w:iCs/>
      <w:color w:val="006283"/>
      <w:sz w:val="18"/>
      <w:szCs w:val="20"/>
      <w:u w:val="single"/>
    </w:rPr>
  </w:style>
  <w:style w:type="paragraph" w:styleId="IndexHeading">
    <w:name w:val="index heading"/>
    <w:basedOn w:val="Normal"/>
    <w:next w:val="Index1"/>
    <w:uiPriority w:val="99"/>
    <w:semiHidden/>
    <w:unhideWhenUsed/>
    <w:rsid w:val="0041250B"/>
    <w:rPr>
      <w:rFonts w:asciiTheme="majorHAnsi" w:eastAsiaTheme="majorEastAsia" w:hAnsiTheme="majorHAnsi" w:cstheme="majorBidi"/>
      <w:b/>
      <w:bCs/>
    </w:rPr>
  </w:style>
  <w:style w:type="character" w:styleId="BookTitle">
    <w:name w:val="Book Title"/>
    <w:basedOn w:val="DefaultParagraphFont"/>
    <w:uiPriority w:val="99"/>
    <w:unhideWhenUsed/>
    <w:qFormat/>
    <w:rsid w:val="0041250B"/>
    <w:rPr>
      <w:b/>
      <w:bCs/>
      <w:smallCaps/>
      <w:spacing w:val="5"/>
    </w:rPr>
  </w:style>
  <w:style w:type="paragraph" w:styleId="TOCHeading">
    <w:name w:val="TOC Heading"/>
    <w:basedOn w:val="Normal"/>
    <w:next w:val="Normal"/>
    <w:uiPriority w:val="39"/>
    <w:qFormat/>
    <w:rsid w:val="0041250B"/>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1250B"/>
    <w:rPr>
      <w:i/>
      <w:iCs/>
    </w:rPr>
  </w:style>
  <w:style w:type="table" w:customStyle="1" w:styleId="WTOBox1">
    <w:name w:val="WTOBox1"/>
    <w:basedOn w:val="TableNormal"/>
    <w:uiPriority w:val="99"/>
    <w:rsid w:val="0041250B"/>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1250B"/>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1250B"/>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252E64"/>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9955</Words>
  <Characters>56744</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
    </vt:vector>
  </TitlesOfParts>
  <Company>WTO</Company>
  <LinksUpToDate>false</LinksUpToDate>
  <CharactersWithSpaces>66566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Rodriguez, Raquel</dc:creator>
  <cp:keywords/>
  <dc:description/>
  <cp:lastModifiedBy>Mitchell, Madeleine</cp:lastModifiedBy>
  <cp:revision>2</cp:revision>
  <dcterms:created xsi:type="dcterms:W3CDTF">2021-05-18T15:03:00Z</dcterms:created>
  <dcterms:modified xsi:type="dcterms:W3CDTF">2021-05-18T15:03:00Z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957f856e-3630-4923-abe8-fe0a4fff43c6</vt:lpwstr>
  </property>
  <property fmtid="{D5CDD505-2E9C-101B-9397-08002B2CF9AE}" pid="3" name="WTOCLASSIFICATION">
    <vt:lpwstr>WTO OFFICIAL</vt:lpwstr>
  </property>
</Properties>
</file>