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33D154" w14:textId="29F24D2C" w:rsidR="009B7ED1" w:rsidRPr="00A62D1C" w:rsidRDefault="009B7ED1" w:rsidP="009B7ED1">
      <w:pPr>
        <w:rPr>
          <w:lang w:val="es-ES"/>
        </w:rPr>
      </w:pPr>
    </w:p>
    <w:p w14:paraId="4F8759AA" w14:textId="1687AFF1" w:rsidR="009B7ED1" w:rsidRPr="00A62D1C" w:rsidRDefault="009B7ED1" w:rsidP="009B7ED1">
      <w:pPr>
        <w:rPr>
          <w:lang w:val="es-ES"/>
        </w:rPr>
      </w:pPr>
    </w:p>
    <w:p w14:paraId="6E757A94" w14:textId="2BEC6B4A" w:rsidR="009B7ED1" w:rsidRPr="00A62D1C" w:rsidRDefault="009B7ED1" w:rsidP="009B7ED1">
      <w:pPr>
        <w:rPr>
          <w:lang w:val="es-ES"/>
        </w:rPr>
      </w:pPr>
    </w:p>
    <w:p w14:paraId="27DCC289" w14:textId="5B1FD4A4" w:rsidR="009B7ED1" w:rsidRPr="00A62D1C" w:rsidRDefault="009B7ED1" w:rsidP="009B7ED1">
      <w:pPr>
        <w:rPr>
          <w:lang w:val="es-ES"/>
        </w:rPr>
      </w:pPr>
    </w:p>
    <w:p w14:paraId="6F2D6D5E" w14:textId="3CC9AE87" w:rsidR="009B7ED1" w:rsidRPr="00A62D1C" w:rsidRDefault="009B7ED1" w:rsidP="009B7ED1">
      <w:pPr>
        <w:rPr>
          <w:lang w:val="es-ES"/>
        </w:rPr>
      </w:pPr>
    </w:p>
    <w:p w14:paraId="203942CB" w14:textId="4FC41FBD" w:rsidR="009B7ED1" w:rsidRPr="00A62D1C" w:rsidRDefault="009B7ED1" w:rsidP="009B7ED1">
      <w:pPr>
        <w:rPr>
          <w:lang w:val="es-ES"/>
        </w:rPr>
      </w:pPr>
    </w:p>
    <w:p w14:paraId="32028621" w14:textId="25E06C1E" w:rsidR="009B7ED1" w:rsidRPr="00A62D1C" w:rsidRDefault="009B7ED1" w:rsidP="009B7ED1">
      <w:pPr>
        <w:rPr>
          <w:lang w:val="es-ES"/>
        </w:rPr>
      </w:pPr>
    </w:p>
    <w:p w14:paraId="2DA0835B" w14:textId="01DC0657" w:rsidR="009B7ED1" w:rsidRPr="00A62D1C" w:rsidRDefault="009B7ED1" w:rsidP="009B7ED1">
      <w:pPr>
        <w:rPr>
          <w:lang w:val="es-ES"/>
        </w:rPr>
      </w:pPr>
    </w:p>
    <w:p w14:paraId="70EBE7A2" w14:textId="25221C41" w:rsidR="009B7ED1" w:rsidRPr="00A62D1C" w:rsidRDefault="009B7ED1" w:rsidP="009B7ED1">
      <w:pPr>
        <w:rPr>
          <w:lang w:val="es-ES"/>
        </w:rPr>
      </w:pPr>
    </w:p>
    <w:p w14:paraId="28A2B179" w14:textId="047F29DB" w:rsidR="009B7ED1" w:rsidRPr="00A62D1C" w:rsidRDefault="009B7ED1" w:rsidP="009B7ED1">
      <w:pPr>
        <w:rPr>
          <w:lang w:val="es-ES"/>
        </w:rPr>
      </w:pPr>
    </w:p>
    <w:p w14:paraId="1D756132" w14:textId="77777777" w:rsidR="009B7ED1" w:rsidRPr="00A62D1C" w:rsidRDefault="009B7ED1" w:rsidP="009B7ED1">
      <w:pPr>
        <w:rPr>
          <w:lang w:val="es-ES"/>
        </w:rPr>
      </w:pPr>
    </w:p>
    <w:p w14:paraId="393195A8" w14:textId="3E470FBE" w:rsidR="009B7ED1" w:rsidRPr="00A62D1C" w:rsidRDefault="009B7ED1" w:rsidP="009B7ED1">
      <w:pPr>
        <w:spacing w:after="240"/>
        <w:jc w:val="center"/>
        <w:rPr>
          <w:b/>
          <w:bCs/>
          <w:szCs w:val="18"/>
          <w:lang w:val="es-ES"/>
        </w:rPr>
      </w:pPr>
      <w:r w:rsidRPr="00A62D1C">
        <w:rPr>
          <w:b/>
          <w:bCs/>
          <w:szCs w:val="18"/>
          <w:lang w:val="es-ES"/>
        </w:rPr>
        <w:t>ACUERDO SOBRE SALVAGUARDIAS</w:t>
      </w:r>
    </w:p>
    <w:p w14:paraId="7FECC43F" w14:textId="77777777" w:rsidR="009B7ED1" w:rsidRPr="00A62D1C" w:rsidRDefault="009B7ED1" w:rsidP="009B7ED1">
      <w:pPr>
        <w:rPr>
          <w:lang w:val="es-ES"/>
        </w:rPr>
      </w:pPr>
    </w:p>
    <w:p w14:paraId="658A94D4" w14:textId="160CB0F1" w:rsidR="009B7ED1" w:rsidRPr="00A62D1C" w:rsidRDefault="009B7ED1">
      <w:pPr>
        <w:spacing w:after="160" w:line="259" w:lineRule="auto"/>
        <w:jc w:val="left"/>
        <w:rPr>
          <w:b/>
          <w:bCs/>
          <w:szCs w:val="18"/>
          <w:lang w:val="es-ES"/>
        </w:rPr>
      </w:pPr>
      <w:r w:rsidRPr="00A62D1C">
        <w:rPr>
          <w:b/>
          <w:bCs/>
          <w:szCs w:val="18"/>
          <w:lang w:val="es-ES"/>
        </w:rPr>
        <w:br w:type="page"/>
      </w:r>
    </w:p>
    <w:p w14:paraId="25F4C67F" w14:textId="64ECA533" w:rsidR="007F5358" w:rsidRPr="00A62D1C" w:rsidRDefault="007F5358" w:rsidP="00D20CB5">
      <w:pPr>
        <w:spacing w:after="440"/>
        <w:jc w:val="center"/>
        <w:rPr>
          <w:b/>
          <w:bCs/>
          <w:szCs w:val="18"/>
          <w:lang w:val="es-ES"/>
        </w:rPr>
      </w:pPr>
      <w:r w:rsidRPr="00A62D1C">
        <w:rPr>
          <w:b/>
          <w:bCs/>
          <w:szCs w:val="18"/>
          <w:lang w:val="es-ES"/>
        </w:rPr>
        <w:lastRenderedPageBreak/>
        <w:t>ACUERDO SOBRE SALVAGUARDIAS</w:t>
      </w:r>
    </w:p>
    <w:p w14:paraId="3A6FAABD" w14:textId="77777777" w:rsidR="007F5358" w:rsidRPr="00A62D1C" w:rsidRDefault="007F5358" w:rsidP="00D20CB5">
      <w:pPr>
        <w:spacing w:after="220"/>
        <w:rPr>
          <w:szCs w:val="18"/>
          <w:lang w:val="es-ES"/>
        </w:rPr>
      </w:pPr>
      <w:r w:rsidRPr="00A62D1C">
        <w:rPr>
          <w:i/>
          <w:color w:val="131413"/>
          <w:szCs w:val="18"/>
          <w:lang w:val="es-ES"/>
        </w:rPr>
        <w:t>Los Miembros</w:t>
      </w:r>
      <w:r w:rsidRPr="00A62D1C">
        <w:rPr>
          <w:lang w:val="es-ES"/>
        </w:rPr>
        <w:t>,</w:t>
      </w:r>
    </w:p>
    <w:p w14:paraId="68F5DBC4" w14:textId="25C46BC7" w:rsidR="007F5358" w:rsidRPr="00A62D1C" w:rsidRDefault="004C4A26" w:rsidP="00D20CB5">
      <w:pPr>
        <w:spacing w:after="220"/>
        <w:rPr>
          <w:szCs w:val="18"/>
          <w:lang w:val="es-ES"/>
        </w:rPr>
      </w:pPr>
      <w:r w:rsidRPr="00A62D1C">
        <w:rPr>
          <w:i/>
          <w:color w:val="131413"/>
          <w:szCs w:val="18"/>
          <w:lang w:val="es-ES"/>
        </w:rPr>
        <w:tab/>
      </w:r>
      <w:r w:rsidR="007F5358" w:rsidRPr="00A62D1C">
        <w:rPr>
          <w:i/>
          <w:color w:val="131413"/>
          <w:szCs w:val="18"/>
          <w:lang w:val="es-ES"/>
        </w:rPr>
        <w:t>Teniendo presente</w:t>
      </w:r>
      <w:r w:rsidR="007F5358" w:rsidRPr="00A62D1C">
        <w:rPr>
          <w:lang w:val="es-ES"/>
        </w:rPr>
        <w:t xml:space="preserve"> </w:t>
      </w:r>
      <w:r w:rsidR="007F5358" w:rsidRPr="00A62D1C">
        <w:rPr>
          <w:color w:val="131413"/>
          <w:szCs w:val="18"/>
          <w:lang w:val="es-ES"/>
        </w:rPr>
        <w:t>el objetivo general de los Miembros de mejorar y fortalecer el sistema de comercio internacional basado en el GATT de 1994;</w:t>
      </w:r>
    </w:p>
    <w:p w14:paraId="3AFCD681" w14:textId="7B676F55" w:rsidR="007F5358" w:rsidRPr="00A62D1C" w:rsidRDefault="004C4A26" w:rsidP="00D20CB5">
      <w:pPr>
        <w:spacing w:after="220"/>
        <w:rPr>
          <w:szCs w:val="18"/>
          <w:lang w:val="es-ES"/>
        </w:rPr>
      </w:pPr>
      <w:r w:rsidRPr="00A62D1C">
        <w:rPr>
          <w:i/>
          <w:color w:val="131413"/>
          <w:szCs w:val="18"/>
          <w:lang w:val="es-ES"/>
        </w:rPr>
        <w:tab/>
      </w:r>
      <w:r w:rsidR="007F5358" w:rsidRPr="00A62D1C">
        <w:rPr>
          <w:i/>
          <w:color w:val="131413"/>
          <w:szCs w:val="18"/>
          <w:lang w:val="es-ES"/>
        </w:rPr>
        <w:t>Reconociendo</w:t>
      </w:r>
      <w:r w:rsidR="007F5358" w:rsidRPr="00A62D1C">
        <w:rPr>
          <w:lang w:val="es-ES"/>
        </w:rPr>
        <w:t xml:space="preserve"> </w:t>
      </w:r>
      <w:r w:rsidR="007F5358" w:rsidRPr="00A62D1C">
        <w:rPr>
          <w:color w:val="131413"/>
          <w:szCs w:val="18"/>
          <w:lang w:val="es-ES"/>
        </w:rPr>
        <w:t>la necesidad de aclarar y reforzar las disciplinas del GATT de 1994, y concretamente las de su artículo XIX (Medidas de urgencia sobre la importación de productos determinados), de restablecer el control multilateral sobre las salvaguardias y de suprimir las medidas que escapen a tal control;</w:t>
      </w:r>
    </w:p>
    <w:p w14:paraId="10BDE6B6" w14:textId="4A26F901" w:rsidR="007F5358" w:rsidRPr="00A62D1C" w:rsidRDefault="004C4A26" w:rsidP="00D20CB5">
      <w:pPr>
        <w:spacing w:after="220"/>
        <w:rPr>
          <w:szCs w:val="18"/>
          <w:lang w:val="es-ES"/>
        </w:rPr>
      </w:pPr>
      <w:r w:rsidRPr="00A62D1C">
        <w:rPr>
          <w:i/>
          <w:color w:val="131413"/>
          <w:szCs w:val="18"/>
          <w:lang w:val="es-ES"/>
        </w:rPr>
        <w:tab/>
      </w:r>
      <w:r w:rsidR="007F5358" w:rsidRPr="00A62D1C">
        <w:rPr>
          <w:i/>
          <w:color w:val="131413"/>
          <w:szCs w:val="18"/>
          <w:lang w:val="es-ES"/>
        </w:rPr>
        <w:t>Reconociendo</w:t>
      </w:r>
      <w:r w:rsidR="007F5358" w:rsidRPr="00A62D1C">
        <w:rPr>
          <w:lang w:val="es-ES"/>
        </w:rPr>
        <w:t xml:space="preserve"> </w:t>
      </w:r>
      <w:r w:rsidR="007F5358" w:rsidRPr="00A62D1C">
        <w:rPr>
          <w:color w:val="131413"/>
          <w:szCs w:val="18"/>
          <w:lang w:val="es-ES"/>
        </w:rPr>
        <w:t>la importancia del reajuste estructural y la necesidad de potenciar la competencia en los mercados internacionales en lugar de limitarla</w:t>
      </w:r>
      <w:r w:rsidR="002B743F" w:rsidRPr="00A62D1C">
        <w:rPr>
          <w:color w:val="131413"/>
          <w:szCs w:val="18"/>
          <w:lang w:val="es-ES"/>
        </w:rPr>
        <w:t>; y</w:t>
      </w:r>
    </w:p>
    <w:p w14:paraId="60489168" w14:textId="542B6F35" w:rsidR="007F5358" w:rsidRPr="00A62D1C" w:rsidRDefault="004C4A26" w:rsidP="00D20CB5">
      <w:pPr>
        <w:spacing w:after="220"/>
        <w:rPr>
          <w:szCs w:val="18"/>
          <w:lang w:val="es-ES"/>
        </w:rPr>
      </w:pPr>
      <w:r w:rsidRPr="00A62D1C">
        <w:rPr>
          <w:i/>
          <w:color w:val="131413"/>
          <w:szCs w:val="18"/>
          <w:lang w:val="es-ES"/>
        </w:rPr>
        <w:tab/>
      </w:r>
      <w:r w:rsidR="007F5358" w:rsidRPr="00A62D1C">
        <w:rPr>
          <w:i/>
          <w:color w:val="131413"/>
          <w:szCs w:val="18"/>
          <w:lang w:val="es-ES"/>
        </w:rPr>
        <w:t>Reconociendo</w:t>
      </w:r>
      <w:r w:rsidR="007F5358" w:rsidRPr="00A62D1C">
        <w:rPr>
          <w:lang w:val="es-ES"/>
        </w:rPr>
        <w:t xml:space="preserve"> </w:t>
      </w:r>
      <w:r w:rsidR="007F5358" w:rsidRPr="00A62D1C">
        <w:rPr>
          <w:color w:val="131413"/>
          <w:szCs w:val="18"/>
          <w:lang w:val="es-ES"/>
        </w:rPr>
        <w:t>además que, a estos efectos, se requiere un acuerdo global, aplicable a todos los Miembros y basado en los principios fundamentales del GATT de 1994;</w:t>
      </w:r>
    </w:p>
    <w:p w14:paraId="5AFF32F3" w14:textId="215627E9" w:rsidR="007F5358" w:rsidRPr="00A62D1C" w:rsidRDefault="004C4A26" w:rsidP="00D20CB5">
      <w:pPr>
        <w:spacing w:after="220"/>
        <w:rPr>
          <w:szCs w:val="18"/>
          <w:lang w:val="es-ES"/>
        </w:rPr>
      </w:pPr>
      <w:r w:rsidRPr="00A62D1C">
        <w:rPr>
          <w:i/>
          <w:color w:val="131413"/>
          <w:szCs w:val="18"/>
          <w:lang w:val="es-ES"/>
        </w:rPr>
        <w:tab/>
      </w:r>
      <w:r w:rsidR="007F5358" w:rsidRPr="00A62D1C">
        <w:rPr>
          <w:i/>
          <w:color w:val="131413"/>
          <w:szCs w:val="18"/>
          <w:lang w:val="es-ES"/>
        </w:rPr>
        <w:t>Convienen</w:t>
      </w:r>
      <w:r w:rsidR="007F5358" w:rsidRPr="00A62D1C">
        <w:rPr>
          <w:lang w:val="es-ES"/>
        </w:rPr>
        <w:t xml:space="preserve"> </w:t>
      </w:r>
      <w:r w:rsidR="007F5358" w:rsidRPr="00A62D1C">
        <w:rPr>
          <w:color w:val="131413"/>
          <w:szCs w:val="18"/>
          <w:lang w:val="es-ES"/>
        </w:rPr>
        <w:t>en lo siguiente:</w:t>
      </w:r>
    </w:p>
    <w:p w14:paraId="73DBAC21" w14:textId="77777777" w:rsidR="007F5358" w:rsidRPr="00A62D1C" w:rsidRDefault="007F5358" w:rsidP="00D20CB5">
      <w:pPr>
        <w:spacing w:before="440" w:after="220"/>
        <w:jc w:val="center"/>
        <w:rPr>
          <w:i/>
          <w:iCs/>
          <w:szCs w:val="18"/>
          <w:lang w:val="es-ES"/>
        </w:rPr>
      </w:pPr>
      <w:r w:rsidRPr="00A62D1C">
        <w:rPr>
          <w:i/>
          <w:iCs/>
          <w:color w:val="131413"/>
          <w:szCs w:val="18"/>
          <w:lang w:val="es-ES"/>
        </w:rPr>
        <w:t>Artículo 1</w:t>
      </w:r>
    </w:p>
    <w:p w14:paraId="4D675F21" w14:textId="77777777" w:rsidR="007F5358" w:rsidRPr="00A62D1C" w:rsidRDefault="007F5358" w:rsidP="00D20CB5">
      <w:pPr>
        <w:spacing w:after="220"/>
        <w:jc w:val="center"/>
        <w:rPr>
          <w:i/>
          <w:iCs/>
          <w:szCs w:val="18"/>
          <w:lang w:val="es-ES"/>
        </w:rPr>
      </w:pPr>
      <w:r w:rsidRPr="00A62D1C">
        <w:rPr>
          <w:i/>
          <w:iCs/>
          <w:color w:val="131413"/>
          <w:szCs w:val="18"/>
          <w:lang w:val="es-ES"/>
        </w:rPr>
        <w:t>Disposiciones generales</w:t>
      </w:r>
    </w:p>
    <w:p w14:paraId="11B9599F" w14:textId="7B756B3E" w:rsidR="007F5358" w:rsidRPr="00A62D1C" w:rsidRDefault="004C4A26" w:rsidP="00D20CB5">
      <w:pPr>
        <w:spacing w:after="220"/>
        <w:rPr>
          <w:szCs w:val="18"/>
          <w:lang w:val="es-ES"/>
        </w:rPr>
      </w:pPr>
      <w:r w:rsidRPr="00A62D1C">
        <w:rPr>
          <w:color w:val="131413"/>
          <w:szCs w:val="18"/>
          <w:lang w:val="es-ES"/>
        </w:rPr>
        <w:tab/>
      </w:r>
      <w:r w:rsidR="007F5358" w:rsidRPr="00A62D1C">
        <w:rPr>
          <w:color w:val="131413"/>
          <w:szCs w:val="18"/>
          <w:lang w:val="es-ES"/>
        </w:rPr>
        <w:t>El presente Acuerdo establece normas para la aplicación de medidas de salvaguardia, entendiéndose por éstas las medidas previstas en el artículo XIX del GATT de 1994.</w:t>
      </w:r>
    </w:p>
    <w:p w14:paraId="0B4D8596" w14:textId="77777777" w:rsidR="007F5358" w:rsidRPr="00A62D1C" w:rsidRDefault="007F5358" w:rsidP="00D20CB5">
      <w:pPr>
        <w:spacing w:before="440" w:after="220"/>
        <w:jc w:val="center"/>
        <w:rPr>
          <w:i/>
          <w:iCs/>
          <w:szCs w:val="18"/>
          <w:lang w:val="es-ES"/>
        </w:rPr>
      </w:pPr>
      <w:r w:rsidRPr="00A62D1C">
        <w:rPr>
          <w:i/>
          <w:iCs/>
          <w:color w:val="131413"/>
          <w:szCs w:val="18"/>
          <w:lang w:val="es-ES"/>
        </w:rPr>
        <w:t>Artículo 2</w:t>
      </w:r>
    </w:p>
    <w:p w14:paraId="380A82F1" w14:textId="77777777" w:rsidR="007F5358" w:rsidRPr="00A62D1C" w:rsidRDefault="007F5358" w:rsidP="00D20CB5">
      <w:pPr>
        <w:spacing w:after="220"/>
        <w:jc w:val="center"/>
        <w:rPr>
          <w:i/>
          <w:iCs/>
          <w:szCs w:val="18"/>
          <w:lang w:val="es-ES"/>
        </w:rPr>
      </w:pPr>
      <w:r w:rsidRPr="00A62D1C">
        <w:rPr>
          <w:i/>
          <w:iCs/>
          <w:color w:val="131413"/>
          <w:szCs w:val="18"/>
          <w:lang w:val="es-ES"/>
        </w:rPr>
        <w:t>Condiciones</w:t>
      </w:r>
    </w:p>
    <w:p w14:paraId="064E1AEA" w14:textId="336CB746" w:rsidR="007F5358" w:rsidRPr="00A62D1C" w:rsidRDefault="004C4A26" w:rsidP="00D20CB5">
      <w:pPr>
        <w:spacing w:after="22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Un Miembro</w:t>
      </w:r>
      <w:r w:rsidRPr="00A62D1C">
        <w:rPr>
          <w:rStyle w:val="FootnoteReference"/>
          <w:color w:val="131413"/>
          <w:szCs w:val="18"/>
          <w:lang w:val="es-ES"/>
        </w:rPr>
        <w:footnoteReference w:id="1"/>
      </w:r>
      <w:r w:rsidR="007F5358" w:rsidRPr="00A62D1C">
        <w:rPr>
          <w:color w:val="131413"/>
          <w:szCs w:val="18"/>
          <w:lang w:val="es-ES"/>
        </w:rPr>
        <w:t xml:space="preserve"> sólo podrá aplicar una medida de salvaguardia a un producto si dicho Miembro ha determinado, con arreglo a las disposiciones enunciadas </w:t>
      </w:r>
      <w:r w:rsidR="007F5358" w:rsidRPr="00A62D1C">
        <w:rPr>
          <w:i/>
          <w:color w:val="131413"/>
          <w:szCs w:val="18"/>
          <w:lang w:val="es-ES"/>
        </w:rPr>
        <w:t>infra</w:t>
      </w:r>
      <w:r w:rsidR="007F5358" w:rsidRPr="00A62D1C">
        <w:rPr>
          <w:lang w:val="es-ES"/>
        </w:rPr>
        <w:t xml:space="preserve">, </w:t>
      </w:r>
      <w:r w:rsidR="007F5358" w:rsidRPr="00A62D1C">
        <w:rPr>
          <w:color w:val="131413"/>
          <w:szCs w:val="18"/>
          <w:lang w:val="es-ES"/>
        </w:rPr>
        <w:t>que las importaciones de ese producto en su territorio han aumentado en tal cantidad, en términos absolutos o en relación con la producción nacional, y se realizan en condiciones tales que causan o amenazan causar un daño grave a la rama de producción nacional que produce productos similares o directamente competidores.</w:t>
      </w:r>
    </w:p>
    <w:p w14:paraId="7D6B41CB" w14:textId="61408988" w:rsidR="007F5358" w:rsidRPr="00A62D1C" w:rsidRDefault="004C4A26" w:rsidP="00D20CB5">
      <w:pPr>
        <w:spacing w:after="220"/>
        <w:rPr>
          <w:szCs w:val="18"/>
          <w:lang w:val="es-ES"/>
        </w:rPr>
      </w:pPr>
      <w:r w:rsidRPr="00A62D1C">
        <w:rPr>
          <w:color w:val="131413"/>
          <w:szCs w:val="18"/>
          <w:lang w:val="es-ES"/>
        </w:rPr>
        <w:t>2.</w:t>
      </w:r>
      <w:r w:rsidRPr="00A62D1C">
        <w:rPr>
          <w:color w:val="131413"/>
          <w:szCs w:val="18"/>
          <w:lang w:val="es-ES"/>
        </w:rPr>
        <w:tab/>
      </w:r>
      <w:r w:rsidR="007F5358" w:rsidRPr="00A62D1C">
        <w:rPr>
          <w:color w:val="131413"/>
          <w:szCs w:val="18"/>
          <w:lang w:val="es-ES"/>
        </w:rPr>
        <w:t>Las medidas de salvaguardia se aplicarán al producto importado independientemente de la fuente de donde proceda.</w:t>
      </w:r>
    </w:p>
    <w:p w14:paraId="442141D3" w14:textId="77777777" w:rsidR="007F5358" w:rsidRPr="00A62D1C" w:rsidRDefault="007F5358" w:rsidP="00D20CB5">
      <w:pPr>
        <w:spacing w:before="440" w:after="220"/>
        <w:jc w:val="center"/>
        <w:rPr>
          <w:i/>
          <w:iCs/>
          <w:szCs w:val="18"/>
          <w:lang w:val="es-ES"/>
        </w:rPr>
      </w:pPr>
      <w:r w:rsidRPr="00A62D1C">
        <w:rPr>
          <w:i/>
          <w:iCs/>
          <w:color w:val="131413"/>
          <w:szCs w:val="18"/>
          <w:lang w:val="es-ES"/>
        </w:rPr>
        <w:t>Artículo 3</w:t>
      </w:r>
    </w:p>
    <w:p w14:paraId="4AE70DA0" w14:textId="77777777" w:rsidR="007F5358" w:rsidRPr="00A62D1C" w:rsidRDefault="007F5358" w:rsidP="00D20CB5">
      <w:pPr>
        <w:keepNext/>
        <w:spacing w:after="220"/>
        <w:jc w:val="center"/>
        <w:rPr>
          <w:i/>
          <w:iCs/>
          <w:szCs w:val="18"/>
          <w:lang w:val="es-ES"/>
        </w:rPr>
      </w:pPr>
      <w:r w:rsidRPr="00A62D1C">
        <w:rPr>
          <w:i/>
          <w:iCs/>
          <w:color w:val="131413"/>
          <w:szCs w:val="18"/>
          <w:lang w:val="es-ES"/>
        </w:rPr>
        <w:t>Investigación</w:t>
      </w:r>
    </w:p>
    <w:p w14:paraId="1D028207" w14:textId="658746D4" w:rsidR="007F5358" w:rsidRPr="00A62D1C" w:rsidRDefault="00A93F91" w:rsidP="00D20CB5">
      <w:pPr>
        <w:spacing w:after="24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Un Miembro sólo podrá aplicar una medida de salvaguardia después de una investigación realizada por las autoridades competentes de ese Miembro con arreglo a un procedimiento previamente establecido y hecho público en consonancia con el artículo X del GATT de 1994</w:t>
      </w:r>
      <w:r w:rsidR="002B743F" w:rsidRPr="00A62D1C">
        <w:rPr>
          <w:color w:val="131413"/>
          <w:szCs w:val="18"/>
          <w:lang w:val="es-ES"/>
        </w:rPr>
        <w:t>. D</w:t>
      </w:r>
      <w:r w:rsidR="007F5358" w:rsidRPr="00A62D1C">
        <w:rPr>
          <w:color w:val="131413"/>
          <w:szCs w:val="18"/>
          <w:lang w:val="es-ES"/>
        </w:rPr>
        <w:t xml:space="preserve">icha investigación comportará un aviso público razonable a todas las partes interesadas, así como audiencias públicas u otros medios apropiados en que los importadores, exportadores y demás </w:t>
      </w:r>
      <w:r w:rsidR="007F5358" w:rsidRPr="00A62D1C">
        <w:rPr>
          <w:color w:val="131413"/>
          <w:szCs w:val="18"/>
          <w:lang w:val="es-ES"/>
        </w:rPr>
        <w:lastRenderedPageBreak/>
        <w:t>partes interesadas puedan presentar pruebas y exponer sus opiniones y tengan la oportunidad de responder a las comunicaciones de otras partes y de presentar sus opiniones, entre otras cosas, sobre si la aplicación de la medida de salvaguardia sería o no de interés público</w:t>
      </w:r>
      <w:r w:rsidR="002B743F" w:rsidRPr="00A62D1C">
        <w:rPr>
          <w:color w:val="131413"/>
          <w:szCs w:val="18"/>
          <w:lang w:val="es-ES"/>
        </w:rPr>
        <w:t>. L</w:t>
      </w:r>
      <w:r w:rsidR="007F5358" w:rsidRPr="00A62D1C">
        <w:rPr>
          <w:color w:val="131413"/>
          <w:szCs w:val="18"/>
          <w:lang w:val="es-ES"/>
        </w:rPr>
        <w:t>as autoridades competentes publicarán un informe en el que se enuncien las constataciones y las conclusiones fundamentadas a que hayan llegado sobre todas las cuestiones pertinentes de hecho y de derecho.</w:t>
      </w:r>
    </w:p>
    <w:p w14:paraId="0443044A" w14:textId="56DD3B4A" w:rsidR="007F5358" w:rsidRPr="00A62D1C" w:rsidRDefault="00A93F91" w:rsidP="002B743F">
      <w:pPr>
        <w:spacing w:after="240"/>
        <w:rPr>
          <w:szCs w:val="18"/>
          <w:lang w:val="es-ES"/>
        </w:rPr>
      </w:pPr>
      <w:r w:rsidRPr="00A62D1C">
        <w:rPr>
          <w:color w:val="131413"/>
          <w:szCs w:val="18"/>
          <w:lang w:val="es-ES"/>
        </w:rPr>
        <w:t>2.</w:t>
      </w:r>
      <w:r w:rsidRPr="00A62D1C">
        <w:rPr>
          <w:color w:val="131413"/>
          <w:szCs w:val="18"/>
          <w:lang w:val="es-ES"/>
        </w:rPr>
        <w:tab/>
      </w:r>
      <w:r w:rsidR="007F5358" w:rsidRPr="00A62D1C">
        <w:rPr>
          <w:color w:val="131413"/>
          <w:szCs w:val="18"/>
          <w:lang w:val="es-ES"/>
        </w:rPr>
        <w:t>Toda información que, por su naturaleza, sea confidencial, o que se facilite con carácter confidencial, será, previa justificación al respecto, tratada como tal por las autoridades competentes</w:t>
      </w:r>
      <w:r w:rsidR="002B743F" w:rsidRPr="00A62D1C">
        <w:rPr>
          <w:color w:val="131413"/>
          <w:szCs w:val="18"/>
          <w:lang w:val="es-ES"/>
        </w:rPr>
        <w:t>. D</w:t>
      </w:r>
      <w:r w:rsidR="007F5358" w:rsidRPr="00A62D1C">
        <w:rPr>
          <w:color w:val="131413"/>
          <w:szCs w:val="18"/>
          <w:lang w:val="es-ES"/>
        </w:rPr>
        <w:t>icha información no será revelada sin autorización de la parte que la haya presentado</w:t>
      </w:r>
      <w:r w:rsidR="002B743F" w:rsidRPr="00A62D1C">
        <w:rPr>
          <w:color w:val="131413"/>
          <w:szCs w:val="18"/>
          <w:lang w:val="es-ES"/>
        </w:rPr>
        <w:t>. A</w:t>
      </w:r>
      <w:r w:rsidR="007F5358" w:rsidRPr="00A62D1C">
        <w:rPr>
          <w:color w:val="131413"/>
          <w:szCs w:val="18"/>
          <w:lang w:val="es-ES"/>
        </w:rPr>
        <w:t xml:space="preserve"> las partes que proporcionen información confidencial podrá pedírseles que suministren resúmenes no confidenciales de la misma o, si señalan que dicha información no puede ser resumida, que expongan las razones por las cuales no es posible presentar un resumen</w:t>
      </w:r>
      <w:r w:rsidR="002B743F" w:rsidRPr="00A62D1C">
        <w:rPr>
          <w:color w:val="131413"/>
          <w:szCs w:val="18"/>
          <w:lang w:val="es-ES"/>
        </w:rPr>
        <w:t>. S</w:t>
      </w:r>
      <w:r w:rsidR="007F5358" w:rsidRPr="00A62D1C">
        <w:rPr>
          <w:color w:val="131413"/>
          <w:szCs w:val="18"/>
          <w:lang w:val="es-ES"/>
        </w:rPr>
        <w:t>in embargo, si las autoridades competentes concluyen que una petición de que se considere confidencial una información no está justificada, y si la parte interesada no quiere hacerla pública ni autorizar su divulgación en términos generales o resumidos, las autoridades podrán no tener en cuenta esa información, a menos que se les demuestre de manera convincente, de fuente apropiada, que la información es exacta.</w:t>
      </w:r>
    </w:p>
    <w:p w14:paraId="476A36D2" w14:textId="77777777" w:rsidR="007F5358" w:rsidRPr="00A62D1C" w:rsidRDefault="007F5358" w:rsidP="00A93F91">
      <w:pPr>
        <w:spacing w:before="480" w:after="240"/>
        <w:jc w:val="center"/>
        <w:rPr>
          <w:i/>
          <w:iCs/>
          <w:szCs w:val="18"/>
          <w:lang w:val="es-ES"/>
        </w:rPr>
      </w:pPr>
      <w:r w:rsidRPr="00A62D1C">
        <w:rPr>
          <w:i/>
          <w:iCs/>
          <w:color w:val="131413"/>
          <w:szCs w:val="18"/>
          <w:lang w:val="es-ES"/>
        </w:rPr>
        <w:t>Artículo 4</w:t>
      </w:r>
    </w:p>
    <w:p w14:paraId="50C5F17A" w14:textId="77777777" w:rsidR="007F5358" w:rsidRPr="00A62D1C" w:rsidRDefault="007F5358" w:rsidP="00A93F91">
      <w:pPr>
        <w:spacing w:after="240"/>
        <w:jc w:val="center"/>
        <w:rPr>
          <w:i/>
          <w:szCs w:val="18"/>
          <w:lang w:val="es-ES"/>
        </w:rPr>
      </w:pPr>
      <w:r w:rsidRPr="00A62D1C">
        <w:rPr>
          <w:i/>
          <w:color w:val="131413"/>
          <w:szCs w:val="18"/>
          <w:lang w:val="es-ES"/>
        </w:rPr>
        <w:t>Determinación de la existencia de daño grave o de amenaza de daño grave</w:t>
      </w:r>
    </w:p>
    <w:p w14:paraId="54CDB155" w14:textId="66774B7E" w:rsidR="007F5358" w:rsidRPr="00A62D1C" w:rsidRDefault="00A93F91" w:rsidP="002B743F">
      <w:pPr>
        <w:spacing w:after="24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A los efectos del presente Acuerdo:</w:t>
      </w:r>
    </w:p>
    <w:p w14:paraId="7218E5D0" w14:textId="6BBED98F" w:rsidR="007F5358" w:rsidRPr="00A62D1C" w:rsidRDefault="00A93F91" w:rsidP="00A93F91">
      <w:pPr>
        <w:spacing w:after="240"/>
        <w:ind w:left="1134" w:hanging="567"/>
        <w:rPr>
          <w:szCs w:val="18"/>
          <w:lang w:val="es-ES"/>
        </w:rPr>
      </w:pPr>
      <w:r w:rsidRPr="00A62D1C">
        <w:rPr>
          <w:color w:val="131413"/>
          <w:szCs w:val="18"/>
          <w:lang w:val="es-ES"/>
        </w:rPr>
        <w:t>a)</w:t>
      </w:r>
      <w:r w:rsidRPr="00A62D1C">
        <w:rPr>
          <w:color w:val="131413"/>
          <w:szCs w:val="18"/>
          <w:lang w:val="es-ES"/>
        </w:rPr>
        <w:tab/>
      </w:r>
      <w:r w:rsidR="007F5358" w:rsidRPr="00A62D1C">
        <w:rPr>
          <w:color w:val="131413"/>
          <w:szCs w:val="18"/>
          <w:lang w:val="es-ES"/>
        </w:rPr>
        <w:t>se entenderá por "daño grave" un menoscabo general significativo de la situación de una rama de producción nacional;</w:t>
      </w:r>
    </w:p>
    <w:p w14:paraId="403557E5" w14:textId="0EC90A48" w:rsidR="007F5358" w:rsidRPr="00A62D1C" w:rsidRDefault="00A93F91" w:rsidP="00A93F91">
      <w:pPr>
        <w:spacing w:after="240"/>
        <w:ind w:left="1134" w:hanging="567"/>
        <w:rPr>
          <w:szCs w:val="18"/>
          <w:lang w:val="es-ES"/>
        </w:rPr>
      </w:pPr>
      <w:r w:rsidRPr="00A62D1C">
        <w:rPr>
          <w:color w:val="131413"/>
          <w:szCs w:val="18"/>
          <w:lang w:val="es-ES"/>
        </w:rPr>
        <w:t>b)</w:t>
      </w:r>
      <w:r w:rsidRPr="00A62D1C">
        <w:rPr>
          <w:color w:val="131413"/>
          <w:szCs w:val="18"/>
          <w:lang w:val="es-ES"/>
        </w:rPr>
        <w:tab/>
      </w:r>
      <w:r w:rsidR="007F5358" w:rsidRPr="00A62D1C">
        <w:rPr>
          <w:color w:val="131413"/>
          <w:szCs w:val="18"/>
          <w:lang w:val="es-ES"/>
        </w:rPr>
        <w:t>se entenderá por "amenaza de daño grave" la clara inminencia de un daño grave, de conformidad con las disposiciones del párrafo 2</w:t>
      </w:r>
      <w:r w:rsidR="002B743F" w:rsidRPr="00A62D1C">
        <w:rPr>
          <w:color w:val="131413"/>
          <w:szCs w:val="18"/>
          <w:lang w:val="es-ES"/>
        </w:rPr>
        <w:t>. L</w:t>
      </w:r>
      <w:r w:rsidR="007F5358" w:rsidRPr="00A62D1C">
        <w:rPr>
          <w:color w:val="131413"/>
          <w:szCs w:val="18"/>
          <w:lang w:val="es-ES"/>
        </w:rPr>
        <w:t>a determinación de la existencia de una amenaza de daño grave se basará en hechos y no simplemente en alegaciones, conjeturas o posibilidades remotas</w:t>
      </w:r>
      <w:r w:rsidR="002B743F" w:rsidRPr="00A62D1C">
        <w:rPr>
          <w:color w:val="131413"/>
          <w:szCs w:val="18"/>
          <w:lang w:val="es-ES"/>
        </w:rPr>
        <w:t>; y</w:t>
      </w:r>
    </w:p>
    <w:p w14:paraId="7B657846" w14:textId="20F73381" w:rsidR="007F5358" w:rsidRPr="00A62D1C" w:rsidRDefault="00A93F91" w:rsidP="00A93F91">
      <w:pPr>
        <w:spacing w:after="240"/>
        <w:ind w:left="1134" w:hanging="567"/>
        <w:rPr>
          <w:szCs w:val="18"/>
          <w:lang w:val="es-ES"/>
        </w:rPr>
      </w:pPr>
      <w:r w:rsidRPr="00A62D1C">
        <w:rPr>
          <w:color w:val="131413"/>
          <w:szCs w:val="18"/>
          <w:lang w:val="es-ES"/>
        </w:rPr>
        <w:t>c)</w:t>
      </w:r>
      <w:r w:rsidRPr="00A62D1C">
        <w:rPr>
          <w:color w:val="131413"/>
          <w:szCs w:val="18"/>
          <w:lang w:val="es-ES"/>
        </w:rPr>
        <w:tab/>
      </w:r>
      <w:r w:rsidR="007F5358" w:rsidRPr="00A62D1C">
        <w:rPr>
          <w:color w:val="131413"/>
          <w:szCs w:val="18"/>
          <w:lang w:val="es-ES"/>
        </w:rPr>
        <w:t>para determinar la existencia de daño o de amenaza de daño, se entenderá por "rama</w:t>
      </w:r>
      <w:r w:rsidR="00EE5C48" w:rsidRPr="00A62D1C">
        <w:rPr>
          <w:color w:val="131413"/>
          <w:szCs w:val="18"/>
          <w:lang w:val="es-ES"/>
        </w:rPr>
        <w:t> </w:t>
      </w:r>
      <w:r w:rsidR="007F5358" w:rsidRPr="00A62D1C">
        <w:rPr>
          <w:color w:val="131413"/>
          <w:szCs w:val="18"/>
          <w:lang w:val="es-ES"/>
        </w:rPr>
        <w:t xml:space="preserve">de producción nacional" el conjunto de los productores de los productos similares o directamente competidores que operen dentro del territorio de un Miembro o aquellos cuya producción conjunta de productos similares </w:t>
      </w:r>
      <w:r w:rsidR="002B743F" w:rsidRPr="00A62D1C">
        <w:rPr>
          <w:color w:val="131413"/>
          <w:szCs w:val="18"/>
          <w:lang w:val="es-ES"/>
        </w:rPr>
        <w:t xml:space="preserve">o </w:t>
      </w:r>
      <w:r w:rsidR="007F5358" w:rsidRPr="00A62D1C">
        <w:rPr>
          <w:color w:val="131413"/>
          <w:szCs w:val="18"/>
          <w:lang w:val="es-ES"/>
        </w:rPr>
        <w:t>directamente</w:t>
      </w:r>
      <w:r w:rsidR="009220D3" w:rsidRPr="00A62D1C">
        <w:rPr>
          <w:color w:val="131413"/>
          <w:szCs w:val="18"/>
          <w:lang w:val="es-ES"/>
        </w:rPr>
        <w:t xml:space="preserve"> </w:t>
      </w:r>
      <w:r w:rsidR="007F5358" w:rsidRPr="00A62D1C">
        <w:rPr>
          <w:color w:val="131413"/>
          <w:szCs w:val="18"/>
          <w:lang w:val="es-ES"/>
        </w:rPr>
        <w:t>competidores constituya una proporción importante de la producción nacional total de esos productos.</w:t>
      </w:r>
    </w:p>
    <w:p w14:paraId="7EC41328" w14:textId="4B681234" w:rsidR="007F5358" w:rsidRPr="00A62D1C" w:rsidRDefault="000C25C5" w:rsidP="00CF33A3">
      <w:pPr>
        <w:tabs>
          <w:tab w:val="left" w:pos="567"/>
        </w:tabs>
        <w:spacing w:after="240"/>
        <w:ind w:left="1134" w:hanging="1134"/>
        <w:rPr>
          <w:szCs w:val="18"/>
          <w:lang w:val="es-ES"/>
        </w:rPr>
      </w:pPr>
      <w:r w:rsidRPr="00A62D1C">
        <w:rPr>
          <w:color w:val="131413"/>
          <w:szCs w:val="18"/>
          <w:lang w:val="es-ES"/>
        </w:rPr>
        <w:t>2.</w:t>
      </w:r>
      <w:r w:rsidRPr="00A62D1C">
        <w:rPr>
          <w:color w:val="131413"/>
          <w:szCs w:val="18"/>
          <w:lang w:val="es-ES"/>
        </w:rPr>
        <w:tab/>
      </w:r>
      <w:r w:rsidR="007F5358" w:rsidRPr="00A62D1C">
        <w:rPr>
          <w:color w:val="131413"/>
          <w:szCs w:val="18"/>
          <w:lang w:val="es-ES"/>
        </w:rPr>
        <w:t>a)</w:t>
      </w:r>
      <w:r w:rsidRPr="00A62D1C">
        <w:rPr>
          <w:color w:val="131413"/>
          <w:szCs w:val="18"/>
          <w:lang w:val="es-ES"/>
        </w:rPr>
        <w:tab/>
      </w:r>
      <w:r w:rsidR="007F5358" w:rsidRPr="00A62D1C">
        <w:rPr>
          <w:color w:val="131413"/>
          <w:szCs w:val="18"/>
          <w:lang w:val="es-ES"/>
        </w:rPr>
        <w:t>En la investigación para determinar si el aumento de las importaciones ha causado o amenaza causar un daño grave a una rama de producción nacional a tenor del presente Acuerdo, las autoridades competentes evaluarán todos los factores pertinentes de carácter objetivo y cuantificable que tengan relación con la situación de esa rama de producción, en particular el ritmo y la cuantía del aumento de las importaciones del producto de que se trate en términos absolutos y relativos, la parte del mercado interno absorbida por las importaciones en aumento, los cambios en el nivel de ventas</w:t>
      </w:r>
      <w:r w:rsidR="002B743F" w:rsidRPr="00A62D1C">
        <w:rPr>
          <w:color w:val="131413"/>
          <w:szCs w:val="18"/>
          <w:lang w:val="es-ES"/>
        </w:rPr>
        <w:t xml:space="preserve">, </w:t>
      </w:r>
      <w:r w:rsidR="007F5358" w:rsidRPr="00A62D1C">
        <w:rPr>
          <w:color w:val="131413"/>
          <w:szCs w:val="18"/>
          <w:lang w:val="es-ES"/>
        </w:rPr>
        <w:t>la producción, la productividad, la utilización de la capacidad, las ganancias y pérdidas y el empleo.</w:t>
      </w:r>
    </w:p>
    <w:p w14:paraId="431FDDF1" w14:textId="7A359928" w:rsidR="007F5358" w:rsidRPr="00A62D1C" w:rsidRDefault="000C25C5" w:rsidP="00CF33A3">
      <w:pPr>
        <w:tabs>
          <w:tab w:val="left" w:pos="567"/>
        </w:tabs>
        <w:spacing w:after="240"/>
        <w:ind w:left="1134" w:hanging="1134"/>
        <w:rPr>
          <w:szCs w:val="18"/>
          <w:lang w:val="es-ES"/>
        </w:rPr>
      </w:pPr>
      <w:r w:rsidRPr="00A62D1C">
        <w:rPr>
          <w:color w:val="131413"/>
          <w:szCs w:val="18"/>
          <w:lang w:val="es-ES"/>
        </w:rPr>
        <w:tab/>
        <w:t>b)</w:t>
      </w:r>
      <w:r w:rsidRPr="00A62D1C">
        <w:rPr>
          <w:color w:val="131413"/>
          <w:szCs w:val="18"/>
          <w:lang w:val="es-ES"/>
        </w:rPr>
        <w:tab/>
      </w:r>
      <w:r w:rsidR="007F5358" w:rsidRPr="00A62D1C">
        <w:rPr>
          <w:color w:val="131413"/>
          <w:szCs w:val="18"/>
          <w:lang w:val="es-ES"/>
        </w:rPr>
        <w:t>No se efectuará la determinación a que se refiere el apartado a) del presente párrafo a menos que la investigación demuestre, sobre la base de pruebas objetivas, la existencia de una relación de causalidad entre el aumento de las importaciones del producto de qu</w:t>
      </w:r>
      <w:r w:rsidR="002B743F" w:rsidRPr="00A62D1C">
        <w:rPr>
          <w:color w:val="131413"/>
          <w:szCs w:val="18"/>
          <w:lang w:val="es-ES"/>
        </w:rPr>
        <w:t xml:space="preserve">e </w:t>
      </w:r>
      <w:r w:rsidR="007F5358" w:rsidRPr="00A62D1C">
        <w:rPr>
          <w:color w:val="131413"/>
          <w:szCs w:val="18"/>
          <w:lang w:val="es-ES"/>
        </w:rPr>
        <w:t>se trate y el daño grave o la amenaza de daño grave</w:t>
      </w:r>
      <w:r w:rsidR="002B743F" w:rsidRPr="00A62D1C">
        <w:rPr>
          <w:color w:val="131413"/>
          <w:szCs w:val="18"/>
          <w:lang w:val="es-ES"/>
        </w:rPr>
        <w:t>. C</w:t>
      </w:r>
      <w:r w:rsidR="007F5358" w:rsidRPr="00A62D1C">
        <w:rPr>
          <w:color w:val="131413"/>
          <w:szCs w:val="18"/>
          <w:lang w:val="es-ES"/>
        </w:rPr>
        <w:t>uando haya otros factores, distintos del aumento de las importaciones, que al mismo tiempo causen daño a la rama de producción nacional, este daño no se atribuirá al aumento de las importaciones.</w:t>
      </w:r>
    </w:p>
    <w:p w14:paraId="38923C7F" w14:textId="4CD44686" w:rsidR="007F5358" w:rsidRPr="00A62D1C" w:rsidRDefault="000C25C5" w:rsidP="00CF33A3">
      <w:pPr>
        <w:tabs>
          <w:tab w:val="left" w:pos="567"/>
        </w:tabs>
        <w:spacing w:after="240"/>
        <w:ind w:left="1134" w:hanging="1134"/>
        <w:rPr>
          <w:szCs w:val="18"/>
          <w:lang w:val="es-ES"/>
        </w:rPr>
      </w:pPr>
      <w:r w:rsidRPr="00A62D1C">
        <w:rPr>
          <w:color w:val="131413"/>
          <w:szCs w:val="18"/>
          <w:lang w:val="es-ES"/>
        </w:rPr>
        <w:tab/>
        <w:t>c)</w:t>
      </w:r>
      <w:r w:rsidRPr="00A62D1C">
        <w:rPr>
          <w:color w:val="131413"/>
          <w:szCs w:val="18"/>
          <w:lang w:val="es-ES"/>
        </w:rPr>
        <w:tab/>
      </w:r>
      <w:r w:rsidR="007F5358" w:rsidRPr="00A62D1C">
        <w:rPr>
          <w:color w:val="131413"/>
          <w:szCs w:val="18"/>
          <w:lang w:val="es-ES"/>
        </w:rPr>
        <w:t>Las autoridades competentes publicarán con prontitud, de conformidad con las disposiciones del artículo 3, un análisis detallado del caso objeto de investigación, acompañado de una demostración de la pertinencia de los factores examinados.</w:t>
      </w:r>
    </w:p>
    <w:p w14:paraId="52816D13" w14:textId="77777777" w:rsidR="007F5358" w:rsidRPr="00A62D1C" w:rsidRDefault="007F5358" w:rsidP="000C25C5">
      <w:pPr>
        <w:keepNext/>
        <w:spacing w:before="480" w:after="240"/>
        <w:jc w:val="center"/>
        <w:rPr>
          <w:i/>
          <w:iCs/>
          <w:szCs w:val="18"/>
          <w:lang w:val="es-ES"/>
        </w:rPr>
      </w:pPr>
      <w:r w:rsidRPr="00A62D1C">
        <w:rPr>
          <w:i/>
          <w:iCs/>
          <w:color w:val="131413"/>
          <w:szCs w:val="18"/>
          <w:lang w:val="es-ES"/>
        </w:rPr>
        <w:lastRenderedPageBreak/>
        <w:t>Artículo 5</w:t>
      </w:r>
    </w:p>
    <w:p w14:paraId="4A425302" w14:textId="77777777" w:rsidR="007F5358" w:rsidRPr="00A62D1C" w:rsidRDefault="007F5358" w:rsidP="000C25C5">
      <w:pPr>
        <w:keepNext/>
        <w:spacing w:after="240"/>
        <w:jc w:val="center"/>
        <w:rPr>
          <w:i/>
          <w:iCs/>
          <w:szCs w:val="18"/>
          <w:lang w:val="es-ES"/>
        </w:rPr>
      </w:pPr>
      <w:r w:rsidRPr="00A62D1C">
        <w:rPr>
          <w:i/>
          <w:iCs/>
          <w:color w:val="131413"/>
          <w:szCs w:val="18"/>
          <w:lang w:val="es-ES"/>
        </w:rPr>
        <w:t>Aplicación de medidas de salvaguardia</w:t>
      </w:r>
    </w:p>
    <w:p w14:paraId="6D775D26" w14:textId="167DE3C5" w:rsidR="007F5358" w:rsidRPr="00A62D1C" w:rsidRDefault="000C25C5" w:rsidP="002B743F">
      <w:pPr>
        <w:spacing w:after="24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Un Miembro sólo aplicará medidas de salvaguardia en la medida necesaria para prevenir o reparar el daño grave y facilitar el reajuste</w:t>
      </w:r>
      <w:r w:rsidR="002B743F" w:rsidRPr="00A62D1C">
        <w:rPr>
          <w:color w:val="131413"/>
          <w:szCs w:val="18"/>
          <w:lang w:val="es-ES"/>
        </w:rPr>
        <w:t>. S</w:t>
      </w:r>
      <w:r w:rsidR="007F5358" w:rsidRPr="00A62D1C">
        <w:rPr>
          <w:color w:val="131413"/>
          <w:szCs w:val="18"/>
          <w:lang w:val="es-ES"/>
        </w:rPr>
        <w:t>i se utiliza una restricción cuantitativa, esta medida no</w:t>
      </w:r>
      <w:r w:rsidR="006B695A" w:rsidRPr="00A62D1C">
        <w:rPr>
          <w:color w:val="131413"/>
          <w:szCs w:val="18"/>
          <w:lang w:val="es-ES"/>
        </w:rPr>
        <w:t> </w:t>
      </w:r>
      <w:r w:rsidR="007F5358" w:rsidRPr="00A62D1C">
        <w:rPr>
          <w:color w:val="131413"/>
          <w:szCs w:val="18"/>
          <w:lang w:val="es-ES"/>
        </w:rPr>
        <w:t>reducirá la cuantía de las importaciones por debajo del nivel de un período reciente, que será el promedio de las importaciones realizadas en los tres últimos años representativos sobre los cuales se disponga de estadísticas, a menos que se dé una justificación clara de la necesidad de fijar un nivel diferente para prevenir o reparar el daño grave</w:t>
      </w:r>
      <w:r w:rsidR="002B743F" w:rsidRPr="00A62D1C">
        <w:rPr>
          <w:color w:val="131413"/>
          <w:szCs w:val="18"/>
          <w:lang w:val="es-ES"/>
        </w:rPr>
        <w:t>. L</w:t>
      </w:r>
      <w:r w:rsidR="007F5358" w:rsidRPr="00A62D1C">
        <w:rPr>
          <w:color w:val="131413"/>
          <w:szCs w:val="18"/>
          <w:lang w:val="es-ES"/>
        </w:rPr>
        <w:t>os Miembros deberán elegir las medidas más adecuadas para el logro de estos objetivos.</w:t>
      </w:r>
    </w:p>
    <w:p w14:paraId="35023D30" w14:textId="43A5CF97" w:rsidR="007F5358" w:rsidRPr="00A62D1C" w:rsidRDefault="000C25C5" w:rsidP="00CF33A3">
      <w:pPr>
        <w:tabs>
          <w:tab w:val="left" w:pos="567"/>
        </w:tabs>
        <w:spacing w:after="240"/>
        <w:rPr>
          <w:szCs w:val="18"/>
          <w:lang w:val="es-ES"/>
        </w:rPr>
      </w:pPr>
      <w:r w:rsidRPr="00A62D1C">
        <w:rPr>
          <w:color w:val="131413"/>
          <w:szCs w:val="18"/>
          <w:lang w:val="es-ES"/>
        </w:rPr>
        <w:t>2.</w:t>
      </w:r>
      <w:r w:rsidRPr="00A62D1C">
        <w:rPr>
          <w:color w:val="131413"/>
          <w:szCs w:val="18"/>
          <w:lang w:val="es-ES"/>
        </w:rPr>
        <w:tab/>
      </w:r>
      <w:r w:rsidR="007F5358" w:rsidRPr="00A62D1C">
        <w:rPr>
          <w:color w:val="131413"/>
          <w:szCs w:val="18"/>
          <w:lang w:val="es-ES"/>
        </w:rPr>
        <w:t>a)</w:t>
      </w:r>
      <w:r w:rsidRPr="00A62D1C">
        <w:rPr>
          <w:color w:val="131413"/>
          <w:szCs w:val="18"/>
          <w:lang w:val="es-ES"/>
        </w:rPr>
        <w:tab/>
      </w:r>
      <w:r w:rsidR="007F5358" w:rsidRPr="00A62D1C">
        <w:rPr>
          <w:color w:val="131413"/>
          <w:szCs w:val="18"/>
          <w:lang w:val="es-ES"/>
        </w:rPr>
        <w:t>En los casos en que se distribuya un contingente entre países proveedores, el Miembro que aplique las restricciones podrá tratar de llegar a un acuerdo con respecto a la distribución de las partes del contingente con los demás Miembros que tengan un interés sustancial en el suministro del producto de que se trate</w:t>
      </w:r>
      <w:r w:rsidR="002B743F" w:rsidRPr="00A62D1C">
        <w:rPr>
          <w:color w:val="131413"/>
          <w:szCs w:val="18"/>
          <w:lang w:val="es-ES"/>
        </w:rPr>
        <w:t>. E</w:t>
      </w:r>
      <w:r w:rsidR="007F5358" w:rsidRPr="00A62D1C">
        <w:rPr>
          <w:color w:val="131413"/>
          <w:szCs w:val="18"/>
          <w:lang w:val="es-ES"/>
        </w:rPr>
        <w:t>n los casos en que este método no sea razonablemente viable, el Miembro interesado asignará a los Miembros que tengan un interés sustancia</w:t>
      </w:r>
      <w:r w:rsidR="002B743F" w:rsidRPr="00A62D1C">
        <w:rPr>
          <w:color w:val="131413"/>
          <w:szCs w:val="18"/>
          <w:lang w:val="es-ES"/>
        </w:rPr>
        <w:t xml:space="preserve">l </w:t>
      </w:r>
      <w:r w:rsidR="007F5358" w:rsidRPr="00A62D1C">
        <w:rPr>
          <w:color w:val="131413"/>
          <w:szCs w:val="18"/>
          <w:lang w:val="es-ES"/>
        </w:rPr>
        <w:t>en</w:t>
      </w:r>
      <w:r w:rsidR="009220D3" w:rsidRPr="00A62D1C">
        <w:rPr>
          <w:color w:val="131413"/>
          <w:szCs w:val="18"/>
          <w:lang w:val="es-ES"/>
        </w:rPr>
        <w:t xml:space="preserve"> </w:t>
      </w:r>
      <w:r w:rsidR="007F5358" w:rsidRPr="00A62D1C">
        <w:rPr>
          <w:color w:val="131413"/>
          <w:szCs w:val="18"/>
          <w:lang w:val="es-ES"/>
        </w:rPr>
        <w:t>el suministro del producto partes basadas en las proporciones de la cantidad o el valor totales de las importaciones del producto suministradas por dichos Miembros durante un período representativo anterior, teniendo debidamente en cuenta los factores especiales que puedan haber afectado o estar afectando al comercio de ese producto.</w:t>
      </w:r>
    </w:p>
    <w:p w14:paraId="31F23A46" w14:textId="315DB8B2" w:rsidR="007F5358" w:rsidRPr="00A62D1C" w:rsidRDefault="000C25C5" w:rsidP="00CF33A3">
      <w:pPr>
        <w:tabs>
          <w:tab w:val="left" w:pos="567"/>
        </w:tabs>
        <w:spacing w:after="240"/>
        <w:rPr>
          <w:szCs w:val="18"/>
          <w:lang w:val="es-ES"/>
        </w:rPr>
      </w:pPr>
      <w:r w:rsidRPr="00A62D1C">
        <w:rPr>
          <w:color w:val="131413"/>
          <w:szCs w:val="18"/>
          <w:lang w:val="es-ES"/>
        </w:rPr>
        <w:tab/>
      </w:r>
      <w:r w:rsidR="007F5358" w:rsidRPr="00A62D1C">
        <w:rPr>
          <w:color w:val="131413"/>
          <w:szCs w:val="18"/>
          <w:lang w:val="es-ES"/>
        </w:rPr>
        <w:t>b)</w:t>
      </w:r>
      <w:r w:rsidRPr="00A62D1C">
        <w:rPr>
          <w:color w:val="131413"/>
          <w:szCs w:val="18"/>
          <w:lang w:val="es-ES"/>
        </w:rPr>
        <w:tab/>
      </w:r>
      <w:r w:rsidR="007F5358" w:rsidRPr="00A62D1C">
        <w:rPr>
          <w:color w:val="131413"/>
          <w:szCs w:val="18"/>
          <w:lang w:val="es-ES"/>
        </w:rPr>
        <w:t>Un Miembro podrá apartarse de lo dispuesto en el apartado a) del presente párrafo a condición de que celebre consultas con arreglo al párrafo 3 del artículo 12 bajo los auspicios del Comité de Salvaguardias establecido en virtud del párrafo 1 del artículo</w:t>
      </w:r>
      <w:r w:rsidR="00C01B10" w:rsidRPr="00A62D1C">
        <w:rPr>
          <w:color w:val="131413"/>
          <w:szCs w:val="18"/>
          <w:lang w:val="es-ES"/>
        </w:rPr>
        <w:t> </w:t>
      </w:r>
      <w:r w:rsidR="007F5358" w:rsidRPr="00A62D1C">
        <w:rPr>
          <w:color w:val="131413"/>
          <w:szCs w:val="18"/>
          <w:lang w:val="es-ES"/>
        </w:rPr>
        <w:t>13 y de que presente al Comité una demostración clara de que i) las importaciones procedentes de ciertos Miembros han aumentado en un porcentaje desproporcionado en relación con el incremento total de las importaciones del producto considerado en el período representativo, ii) los motivos para apartarse de lo dispuesto en el apartado a) están justificados, y iii) las condiciones en que esto se ha hecho son equitativas para todos los proveedores del producto en cuestión</w:t>
      </w:r>
      <w:r w:rsidR="002B743F" w:rsidRPr="00A62D1C">
        <w:rPr>
          <w:color w:val="131413"/>
          <w:szCs w:val="18"/>
          <w:lang w:val="es-ES"/>
        </w:rPr>
        <w:t>. L</w:t>
      </w:r>
      <w:r w:rsidR="007F5358" w:rsidRPr="00A62D1C">
        <w:rPr>
          <w:color w:val="131413"/>
          <w:szCs w:val="18"/>
          <w:lang w:val="es-ES"/>
        </w:rPr>
        <w:t>a duración de cualquier medida de esa índole no se prolongará más allá del período inicial previsto en el párrafo 1 del artículo</w:t>
      </w:r>
      <w:r w:rsidRPr="00A62D1C">
        <w:rPr>
          <w:color w:val="131413"/>
          <w:szCs w:val="18"/>
          <w:lang w:val="es-ES"/>
        </w:rPr>
        <w:t> </w:t>
      </w:r>
      <w:r w:rsidR="007F5358" w:rsidRPr="00A62D1C">
        <w:rPr>
          <w:color w:val="131413"/>
          <w:szCs w:val="18"/>
          <w:lang w:val="es-ES"/>
        </w:rPr>
        <w:t>7</w:t>
      </w:r>
      <w:r w:rsidR="002B743F" w:rsidRPr="00A62D1C">
        <w:rPr>
          <w:color w:val="131413"/>
          <w:szCs w:val="18"/>
          <w:lang w:val="es-ES"/>
        </w:rPr>
        <w:t>. N</w:t>
      </w:r>
      <w:r w:rsidR="007F5358" w:rsidRPr="00A62D1C">
        <w:rPr>
          <w:color w:val="131413"/>
          <w:szCs w:val="18"/>
          <w:lang w:val="es-ES"/>
        </w:rPr>
        <w:t xml:space="preserve">o estará permitido apartarse de las disposiciones mencionadas </w:t>
      </w:r>
      <w:r w:rsidR="007F5358" w:rsidRPr="00A62D1C">
        <w:rPr>
          <w:i/>
          <w:iCs/>
          <w:color w:val="131413"/>
          <w:szCs w:val="18"/>
          <w:lang w:val="es-ES"/>
        </w:rPr>
        <w:t>supra</w:t>
      </w:r>
      <w:r w:rsidR="007F5358" w:rsidRPr="00A62D1C">
        <w:rPr>
          <w:lang w:val="es-ES"/>
        </w:rPr>
        <w:t xml:space="preserve"> </w:t>
      </w:r>
      <w:r w:rsidR="007F5358" w:rsidRPr="00A62D1C">
        <w:rPr>
          <w:color w:val="131413"/>
          <w:szCs w:val="18"/>
          <w:lang w:val="es-ES"/>
        </w:rPr>
        <w:t>en el caso de amenaza de daño grave.</w:t>
      </w:r>
    </w:p>
    <w:p w14:paraId="37921AE0" w14:textId="77777777" w:rsidR="007F5358" w:rsidRPr="00A62D1C" w:rsidRDefault="007F5358" w:rsidP="000C25C5">
      <w:pPr>
        <w:spacing w:before="480" w:after="240"/>
        <w:jc w:val="center"/>
        <w:rPr>
          <w:i/>
          <w:iCs/>
          <w:szCs w:val="18"/>
          <w:lang w:val="es-ES"/>
        </w:rPr>
      </w:pPr>
      <w:r w:rsidRPr="00A62D1C">
        <w:rPr>
          <w:i/>
          <w:iCs/>
          <w:color w:val="131413"/>
          <w:szCs w:val="18"/>
          <w:lang w:val="es-ES"/>
        </w:rPr>
        <w:t>Artículo 6</w:t>
      </w:r>
    </w:p>
    <w:p w14:paraId="7B1DC934" w14:textId="77777777" w:rsidR="007F5358" w:rsidRPr="00A62D1C" w:rsidRDefault="007F5358" w:rsidP="000C25C5">
      <w:pPr>
        <w:spacing w:after="240"/>
        <w:jc w:val="center"/>
        <w:rPr>
          <w:i/>
          <w:iCs/>
          <w:szCs w:val="18"/>
          <w:lang w:val="es-ES"/>
        </w:rPr>
      </w:pPr>
      <w:r w:rsidRPr="00A62D1C">
        <w:rPr>
          <w:i/>
          <w:iCs/>
          <w:color w:val="131413"/>
          <w:szCs w:val="18"/>
          <w:lang w:val="es-ES"/>
        </w:rPr>
        <w:t>Medidas de salvaguardia provisionales</w:t>
      </w:r>
    </w:p>
    <w:p w14:paraId="28316754" w14:textId="0CD02FC7" w:rsidR="007F5358" w:rsidRPr="00A62D1C" w:rsidRDefault="000C25C5" w:rsidP="002B743F">
      <w:pPr>
        <w:spacing w:after="240"/>
        <w:rPr>
          <w:szCs w:val="18"/>
          <w:lang w:val="es-ES"/>
        </w:rPr>
      </w:pPr>
      <w:r w:rsidRPr="00A62D1C">
        <w:rPr>
          <w:color w:val="131413"/>
          <w:szCs w:val="18"/>
          <w:lang w:val="es-ES"/>
        </w:rPr>
        <w:tab/>
      </w:r>
      <w:r w:rsidR="007F5358" w:rsidRPr="00A62D1C">
        <w:rPr>
          <w:color w:val="131413"/>
          <w:szCs w:val="18"/>
          <w:lang w:val="es-ES"/>
        </w:rPr>
        <w:t>En circunstancias críticas, en las que cualquier demora entrañaría un perjuicio difícilmente reparable, un Miembro podrá adoptar una medida de salvaguardia provisional en virtud de una determinación preliminar de la existencia de pruebas claras de que el aumento de las importaciones ha causado o amenaza causar un daño grave</w:t>
      </w:r>
      <w:r w:rsidR="002B743F" w:rsidRPr="00A62D1C">
        <w:rPr>
          <w:color w:val="131413"/>
          <w:szCs w:val="18"/>
          <w:lang w:val="es-ES"/>
        </w:rPr>
        <w:t>. L</w:t>
      </w:r>
      <w:r w:rsidR="007F5358" w:rsidRPr="00A62D1C">
        <w:rPr>
          <w:color w:val="131413"/>
          <w:szCs w:val="18"/>
          <w:lang w:val="es-ES"/>
        </w:rPr>
        <w:t>a duración de la medida provisional no excederá de</w:t>
      </w:r>
      <w:r w:rsidRPr="00A62D1C">
        <w:rPr>
          <w:color w:val="131413"/>
          <w:szCs w:val="18"/>
          <w:lang w:val="es-ES"/>
        </w:rPr>
        <w:t> </w:t>
      </w:r>
      <w:r w:rsidR="007F5358" w:rsidRPr="00A62D1C">
        <w:rPr>
          <w:color w:val="131413"/>
          <w:szCs w:val="18"/>
          <w:lang w:val="es-ES"/>
        </w:rPr>
        <w:t>200 días, y durante ese período se cumplirán las prescripciones pertinentes de los artículos 2 a</w:t>
      </w:r>
      <w:r w:rsidRPr="00A62D1C">
        <w:rPr>
          <w:color w:val="131413"/>
          <w:szCs w:val="18"/>
          <w:lang w:val="es-ES"/>
        </w:rPr>
        <w:t> </w:t>
      </w:r>
      <w:r w:rsidR="007F5358" w:rsidRPr="00A62D1C">
        <w:rPr>
          <w:color w:val="131413"/>
          <w:szCs w:val="18"/>
          <w:lang w:val="es-ES"/>
        </w:rPr>
        <w:t>7 y 12</w:t>
      </w:r>
      <w:r w:rsidR="002B743F" w:rsidRPr="00A62D1C">
        <w:rPr>
          <w:color w:val="131413"/>
          <w:szCs w:val="18"/>
          <w:lang w:val="es-ES"/>
        </w:rPr>
        <w:t>. L</w:t>
      </w:r>
      <w:r w:rsidR="007F5358" w:rsidRPr="00A62D1C">
        <w:rPr>
          <w:color w:val="131413"/>
          <w:szCs w:val="18"/>
          <w:lang w:val="es-ES"/>
        </w:rPr>
        <w:t>as medidas de esa índole deberán adoptar la forma de incrementos de los aranceles, que se reembolsarán con prontitud si en la investigación posterior a que se refiere el párrafo 2 del artículo</w:t>
      </w:r>
      <w:r w:rsidRPr="00A62D1C">
        <w:rPr>
          <w:color w:val="131413"/>
          <w:szCs w:val="18"/>
          <w:lang w:val="es-ES"/>
        </w:rPr>
        <w:t> </w:t>
      </w:r>
      <w:r w:rsidR="007F5358" w:rsidRPr="00A62D1C">
        <w:rPr>
          <w:color w:val="131413"/>
          <w:szCs w:val="18"/>
          <w:lang w:val="es-ES"/>
        </w:rPr>
        <w:t>4 no se determina que el aumento de las importaciones ha causado o amenazado causar un daño grave a una rama de producción nacional</w:t>
      </w:r>
      <w:r w:rsidR="002B743F" w:rsidRPr="00A62D1C">
        <w:rPr>
          <w:color w:val="131413"/>
          <w:szCs w:val="18"/>
          <w:lang w:val="es-ES"/>
        </w:rPr>
        <w:t>. S</w:t>
      </w:r>
      <w:r w:rsidR="007F5358" w:rsidRPr="00A62D1C">
        <w:rPr>
          <w:color w:val="131413"/>
          <w:szCs w:val="18"/>
          <w:lang w:val="es-ES"/>
        </w:rPr>
        <w:t>e computará como parte del período inicial y de las prórrogas del mismo a que se hace referencia en los párrafos 1, 2 y 3 del artículo 7 la duración de esas medidas provisionales.</w:t>
      </w:r>
    </w:p>
    <w:p w14:paraId="169CD3F9" w14:textId="77777777" w:rsidR="007F5358" w:rsidRPr="00A62D1C" w:rsidRDefault="007F5358" w:rsidP="006D573D">
      <w:pPr>
        <w:keepNext/>
        <w:spacing w:before="480" w:after="240"/>
        <w:jc w:val="center"/>
        <w:rPr>
          <w:i/>
          <w:iCs/>
          <w:szCs w:val="18"/>
          <w:lang w:val="es-ES"/>
        </w:rPr>
      </w:pPr>
      <w:r w:rsidRPr="00A62D1C">
        <w:rPr>
          <w:i/>
          <w:iCs/>
          <w:color w:val="131413"/>
          <w:szCs w:val="18"/>
          <w:lang w:val="es-ES"/>
        </w:rPr>
        <w:t>Artículo 7</w:t>
      </w:r>
    </w:p>
    <w:p w14:paraId="197CAD1C" w14:textId="77777777" w:rsidR="007F5358" w:rsidRPr="00A62D1C" w:rsidRDefault="007F5358" w:rsidP="006D573D">
      <w:pPr>
        <w:keepNext/>
        <w:spacing w:after="240"/>
        <w:jc w:val="center"/>
        <w:rPr>
          <w:i/>
          <w:iCs/>
          <w:szCs w:val="18"/>
          <w:lang w:val="es-ES"/>
        </w:rPr>
      </w:pPr>
      <w:r w:rsidRPr="00A62D1C">
        <w:rPr>
          <w:i/>
          <w:iCs/>
          <w:color w:val="131413"/>
          <w:szCs w:val="18"/>
          <w:lang w:val="es-ES"/>
        </w:rPr>
        <w:t>Duración y examen de las medidas de salvaguardia</w:t>
      </w:r>
    </w:p>
    <w:p w14:paraId="5F09C0BE" w14:textId="4D23D799" w:rsidR="007F5358" w:rsidRPr="00A62D1C" w:rsidRDefault="000C25C5" w:rsidP="002B743F">
      <w:pPr>
        <w:spacing w:after="24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Un Miembro aplicará medidas de salvaguardia únicamente durante el período que sea necesario para prevenir o reparar el daño grave y facilitar el reajuste</w:t>
      </w:r>
      <w:r w:rsidR="002B743F" w:rsidRPr="00A62D1C">
        <w:rPr>
          <w:color w:val="131413"/>
          <w:szCs w:val="18"/>
          <w:lang w:val="es-ES"/>
        </w:rPr>
        <w:t>. E</w:t>
      </w:r>
      <w:r w:rsidR="007F5358" w:rsidRPr="00A62D1C">
        <w:rPr>
          <w:color w:val="131413"/>
          <w:szCs w:val="18"/>
          <w:lang w:val="es-ES"/>
        </w:rPr>
        <w:t>se período no excederá de cuatro años, a menos que se prorrogue de conformidad con el párrafo 2.</w:t>
      </w:r>
    </w:p>
    <w:p w14:paraId="14554C8E" w14:textId="4CD33ACB" w:rsidR="007F5358" w:rsidRPr="00A62D1C" w:rsidRDefault="000C25C5" w:rsidP="002B743F">
      <w:pPr>
        <w:spacing w:after="240"/>
        <w:rPr>
          <w:szCs w:val="18"/>
          <w:lang w:val="es-ES"/>
        </w:rPr>
      </w:pPr>
      <w:r w:rsidRPr="00A62D1C">
        <w:rPr>
          <w:color w:val="131413"/>
          <w:szCs w:val="18"/>
          <w:lang w:val="es-ES"/>
        </w:rPr>
        <w:lastRenderedPageBreak/>
        <w:t>2.</w:t>
      </w:r>
      <w:r w:rsidRPr="00A62D1C">
        <w:rPr>
          <w:color w:val="131413"/>
          <w:szCs w:val="18"/>
          <w:lang w:val="es-ES"/>
        </w:rPr>
        <w:tab/>
      </w:r>
      <w:r w:rsidR="007F5358" w:rsidRPr="00A62D1C">
        <w:rPr>
          <w:color w:val="131413"/>
          <w:szCs w:val="18"/>
          <w:lang w:val="es-ES"/>
        </w:rPr>
        <w:t>Podrá prorrogarse el período mencionado en el párrafo 1 a condición de que las autoridades competentes del Miembro importador hayan determinado</w:t>
      </w:r>
      <w:r w:rsidR="002B743F" w:rsidRPr="00A62D1C">
        <w:rPr>
          <w:color w:val="131413"/>
          <w:szCs w:val="18"/>
          <w:lang w:val="es-ES"/>
        </w:rPr>
        <w:t xml:space="preserve">, </w:t>
      </w:r>
      <w:r w:rsidR="007F5358" w:rsidRPr="00A62D1C">
        <w:rPr>
          <w:color w:val="131413"/>
          <w:szCs w:val="18"/>
          <w:lang w:val="es-ES"/>
        </w:rPr>
        <w:t>de conformidad con los procedimientos establecidos en los artículos 2, 3, 4 y 5, que la medida de salvaguardia sigue siendo necesaria para prevenir o reparar el daño grave y que hay pruebas de que la rama de producción está en proceso de reajuste, y a condición de que se observen las disposiciones pertinentes de los artículos 8 y 12.</w:t>
      </w:r>
    </w:p>
    <w:p w14:paraId="2766AE11" w14:textId="3B9C41AB" w:rsidR="007F5358" w:rsidRPr="00A62D1C" w:rsidRDefault="000C25C5" w:rsidP="002B743F">
      <w:pPr>
        <w:spacing w:after="240"/>
        <w:rPr>
          <w:szCs w:val="18"/>
          <w:lang w:val="es-ES"/>
        </w:rPr>
      </w:pPr>
      <w:r w:rsidRPr="00A62D1C">
        <w:rPr>
          <w:color w:val="131413"/>
          <w:szCs w:val="18"/>
          <w:lang w:val="es-ES"/>
        </w:rPr>
        <w:t>3.</w:t>
      </w:r>
      <w:r w:rsidRPr="00A62D1C">
        <w:rPr>
          <w:color w:val="131413"/>
          <w:szCs w:val="18"/>
          <w:lang w:val="es-ES"/>
        </w:rPr>
        <w:tab/>
      </w:r>
      <w:r w:rsidR="007F5358" w:rsidRPr="00A62D1C">
        <w:rPr>
          <w:color w:val="131413"/>
          <w:szCs w:val="18"/>
          <w:lang w:val="es-ES"/>
        </w:rPr>
        <w:t>El período total de aplicación de una medida de salvaguardia, con inclusión del período de aplicación de cualquier medida provisional, del período de aplicación inicial y de toda prórroga del mismo, no excederá de ocho años.</w:t>
      </w:r>
    </w:p>
    <w:p w14:paraId="29308AC8" w14:textId="70F01AF8" w:rsidR="007F5358" w:rsidRPr="00A62D1C" w:rsidRDefault="000C25C5" w:rsidP="002B743F">
      <w:pPr>
        <w:spacing w:after="240"/>
        <w:rPr>
          <w:szCs w:val="18"/>
          <w:lang w:val="es-ES"/>
        </w:rPr>
      </w:pPr>
      <w:r w:rsidRPr="00A62D1C">
        <w:rPr>
          <w:color w:val="131413"/>
          <w:szCs w:val="18"/>
          <w:lang w:val="es-ES"/>
        </w:rPr>
        <w:t>4.</w:t>
      </w:r>
      <w:r w:rsidRPr="00A62D1C">
        <w:rPr>
          <w:color w:val="131413"/>
          <w:szCs w:val="18"/>
          <w:lang w:val="es-ES"/>
        </w:rPr>
        <w:tab/>
      </w:r>
      <w:r w:rsidR="007F5358" w:rsidRPr="00A62D1C">
        <w:rPr>
          <w:color w:val="131413"/>
          <w:szCs w:val="18"/>
          <w:lang w:val="es-ES"/>
        </w:rPr>
        <w:t>A fin de facilitar el reajuste en una situación en que la duración prevista de una medida de salvaguardia notificada de conformidad con las disposiciones del párrafo 1 del artículo 12 sea superior a un año, el Miembro que aplique la medida la liberalizará progresivamente, a intervalos regulares, durante el período de aplicación</w:t>
      </w:r>
      <w:r w:rsidR="002B743F" w:rsidRPr="00A62D1C">
        <w:rPr>
          <w:color w:val="131413"/>
          <w:szCs w:val="18"/>
          <w:lang w:val="es-ES"/>
        </w:rPr>
        <w:t>. S</w:t>
      </w:r>
      <w:r w:rsidR="007F5358" w:rsidRPr="00A62D1C">
        <w:rPr>
          <w:color w:val="131413"/>
          <w:szCs w:val="18"/>
          <w:lang w:val="es-ES"/>
        </w:rPr>
        <w:t>i la duración de la medida excede de tres años, el Miembro que la aplique examinará la situación a más tardar al promediar el período de aplicación de la misma y, si procede, revocará la medida o acelerará el ritmo de la liberalización</w:t>
      </w:r>
      <w:r w:rsidR="002B743F" w:rsidRPr="00A62D1C">
        <w:rPr>
          <w:color w:val="131413"/>
          <w:szCs w:val="18"/>
          <w:lang w:val="es-ES"/>
        </w:rPr>
        <w:t>. L</w:t>
      </w:r>
      <w:r w:rsidR="007F5358" w:rsidRPr="00A62D1C">
        <w:rPr>
          <w:color w:val="131413"/>
          <w:szCs w:val="18"/>
          <w:lang w:val="es-ES"/>
        </w:rPr>
        <w:t>as medidas prorrogadas de conformidad con el párrafo 2 no serán más restrictivas que al final del período inicial, y se deberá proseguir su liberalización.</w:t>
      </w:r>
    </w:p>
    <w:p w14:paraId="4648F4DF" w14:textId="5799D6F6" w:rsidR="007F5358" w:rsidRPr="00A62D1C" w:rsidRDefault="000C25C5" w:rsidP="002B743F">
      <w:pPr>
        <w:spacing w:after="240"/>
        <w:rPr>
          <w:szCs w:val="18"/>
          <w:lang w:val="es-ES"/>
        </w:rPr>
      </w:pPr>
      <w:r w:rsidRPr="00A62D1C">
        <w:rPr>
          <w:color w:val="131413"/>
          <w:szCs w:val="18"/>
          <w:lang w:val="es-ES"/>
        </w:rPr>
        <w:t>5.</w:t>
      </w:r>
      <w:r w:rsidRPr="00A62D1C">
        <w:rPr>
          <w:color w:val="131413"/>
          <w:szCs w:val="18"/>
          <w:lang w:val="es-ES"/>
        </w:rPr>
        <w:tab/>
      </w:r>
      <w:r w:rsidR="007F5358" w:rsidRPr="00A62D1C">
        <w:rPr>
          <w:color w:val="131413"/>
          <w:szCs w:val="18"/>
          <w:lang w:val="es-ES"/>
        </w:rPr>
        <w:t>No volverá a aplicarse ninguna medida de salvaguardia a la importación de un producto que haya estado sujeto a una medida de esa índole, adoptada después de la fecha de entrada en vigor del Acuerdo sobre la OMC, hasta que transcurra un período igual a aquel durante el cual se haya aplicado anteriormente tal medida, a condición de que el período de no aplicación sea como mínimo de dos años.</w:t>
      </w:r>
    </w:p>
    <w:p w14:paraId="77E6DD29" w14:textId="0C1CA8D6" w:rsidR="007F5358" w:rsidRPr="00A62D1C" w:rsidRDefault="000C25C5" w:rsidP="002B743F">
      <w:pPr>
        <w:spacing w:after="240"/>
        <w:rPr>
          <w:szCs w:val="18"/>
          <w:lang w:val="es-ES"/>
        </w:rPr>
      </w:pPr>
      <w:r w:rsidRPr="00A62D1C">
        <w:rPr>
          <w:color w:val="131413"/>
          <w:szCs w:val="18"/>
          <w:lang w:val="es-ES"/>
        </w:rPr>
        <w:t>6.</w:t>
      </w:r>
      <w:r w:rsidRPr="00A62D1C">
        <w:rPr>
          <w:color w:val="131413"/>
          <w:szCs w:val="18"/>
          <w:lang w:val="es-ES"/>
        </w:rPr>
        <w:tab/>
      </w:r>
      <w:r w:rsidR="007F5358" w:rsidRPr="00A62D1C">
        <w:rPr>
          <w:color w:val="131413"/>
          <w:szCs w:val="18"/>
          <w:lang w:val="es-ES"/>
        </w:rPr>
        <w:t>No obstante lo dispuesto en el párrafo 5, podrá volver a aplicarse a la importación de un producto una medida de salvaguardia cuya duración sea de 180 días o menos, cuando:</w:t>
      </w:r>
    </w:p>
    <w:p w14:paraId="6EBF590A" w14:textId="608DB093" w:rsidR="007F5358" w:rsidRPr="00A62D1C" w:rsidRDefault="000C25C5" w:rsidP="000C25C5">
      <w:pPr>
        <w:spacing w:after="240"/>
        <w:ind w:left="1134" w:hanging="567"/>
        <w:rPr>
          <w:szCs w:val="18"/>
          <w:lang w:val="es-ES"/>
        </w:rPr>
      </w:pPr>
      <w:r w:rsidRPr="00A62D1C">
        <w:rPr>
          <w:color w:val="131413"/>
          <w:szCs w:val="18"/>
          <w:lang w:val="es-ES"/>
        </w:rPr>
        <w:t>a)</w:t>
      </w:r>
      <w:r w:rsidRPr="00A62D1C">
        <w:rPr>
          <w:color w:val="131413"/>
          <w:szCs w:val="18"/>
          <w:lang w:val="es-ES"/>
        </w:rPr>
        <w:tab/>
      </w:r>
      <w:r w:rsidR="007F5358" w:rsidRPr="00A62D1C">
        <w:rPr>
          <w:color w:val="131413"/>
          <w:szCs w:val="18"/>
          <w:lang w:val="es-ES"/>
        </w:rPr>
        <w:t>haya transcurrido un año como mínimo desde la fecha de introducción de una medida de salvaguardia relativa a la importación de ese producto</w:t>
      </w:r>
      <w:r w:rsidR="002B743F" w:rsidRPr="00A62D1C">
        <w:rPr>
          <w:color w:val="131413"/>
          <w:szCs w:val="18"/>
          <w:lang w:val="es-ES"/>
        </w:rPr>
        <w:t>; y</w:t>
      </w:r>
    </w:p>
    <w:p w14:paraId="3DC7CB3F" w14:textId="2C633877" w:rsidR="007F5358" w:rsidRPr="00A62D1C" w:rsidRDefault="000C25C5" w:rsidP="000C25C5">
      <w:pPr>
        <w:spacing w:after="240"/>
        <w:ind w:left="1134" w:hanging="567"/>
        <w:rPr>
          <w:szCs w:val="18"/>
          <w:lang w:val="es-ES"/>
        </w:rPr>
      </w:pPr>
      <w:r w:rsidRPr="00A62D1C">
        <w:rPr>
          <w:color w:val="131413"/>
          <w:szCs w:val="18"/>
          <w:lang w:val="es-ES"/>
        </w:rPr>
        <w:t>b)</w:t>
      </w:r>
      <w:r w:rsidRPr="00A62D1C">
        <w:rPr>
          <w:color w:val="131413"/>
          <w:szCs w:val="18"/>
          <w:lang w:val="es-ES"/>
        </w:rPr>
        <w:tab/>
      </w:r>
      <w:r w:rsidR="007F5358" w:rsidRPr="00A62D1C">
        <w:rPr>
          <w:color w:val="131413"/>
          <w:szCs w:val="18"/>
          <w:lang w:val="es-ES"/>
        </w:rPr>
        <w:t>no se haya aplicado tal medida de salvaguardia al mismo producto más de dos veces en el período de cinco años inmediatamente anterior a la fecha de introducción de la medida.</w:t>
      </w:r>
    </w:p>
    <w:p w14:paraId="365494C4" w14:textId="77777777" w:rsidR="007F5358" w:rsidRPr="00A62D1C" w:rsidRDefault="007F5358" w:rsidP="000C25C5">
      <w:pPr>
        <w:spacing w:before="480" w:after="240"/>
        <w:jc w:val="center"/>
        <w:rPr>
          <w:i/>
          <w:iCs/>
          <w:szCs w:val="18"/>
          <w:lang w:val="es-ES"/>
        </w:rPr>
      </w:pPr>
      <w:r w:rsidRPr="00A62D1C">
        <w:rPr>
          <w:i/>
          <w:iCs/>
          <w:color w:val="131413"/>
          <w:szCs w:val="18"/>
          <w:lang w:val="es-ES"/>
        </w:rPr>
        <w:t>Artículo 8</w:t>
      </w:r>
    </w:p>
    <w:p w14:paraId="65DBE3B7" w14:textId="6AD42CE1" w:rsidR="007F5358" w:rsidRPr="00A62D1C" w:rsidRDefault="007F5358" w:rsidP="000C25C5">
      <w:pPr>
        <w:spacing w:after="240"/>
        <w:jc w:val="center"/>
        <w:rPr>
          <w:i/>
          <w:iCs/>
          <w:szCs w:val="18"/>
          <w:lang w:val="es-ES"/>
        </w:rPr>
      </w:pPr>
      <w:r w:rsidRPr="00A62D1C">
        <w:rPr>
          <w:i/>
          <w:iCs/>
          <w:color w:val="131413"/>
          <w:szCs w:val="18"/>
          <w:lang w:val="es-ES"/>
        </w:rPr>
        <w:t>Nivel de las concesiones y otras obligaciones</w:t>
      </w:r>
    </w:p>
    <w:p w14:paraId="694EF5CF" w14:textId="422E84D2" w:rsidR="007F5358" w:rsidRPr="00A62D1C" w:rsidRDefault="004D4995" w:rsidP="002B743F">
      <w:pPr>
        <w:spacing w:after="24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Todo Miembro que se proponga aplicar o trate de prorrogar una medida de salvaguardia procurará, de conformidad con las disposiciones del párrafo 3 del artículo 12, mantener un nivel de concesiones y otras obligaciones sustancialmente equivalente al existente en virtud del GATT de</w:t>
      </w:r>
      <w:r w:rsidRPr="00A62D1C">
        <w:rPr>
          <w:color w:val="131413"/>
          <w:szCs w:val="18"/>
          <w:lang w:val="es-ES"/>
        </w:rPr>
        <w:t> </w:t>
      </w:r>
      <w:r w:rsidR="007F5358" w:rsidRPr="00A62D1C">
        <w:rPr>
          <w:color w:val="131413"/>
          <w:szCs w:val="18"/>
          <w:lang w:val="es-ES"/>
        </w:rPr>
        <w:t>1994 entre él y los Miembros exportadores que se verían afectados por tal medida</w:t>
      </w:r>
      <w:r w:rsidR="002B743F" w:rsidRPr="00A62D1C">
        <w:rPr>
          <w:color w:val="131413"/>
          <w:szCs w:val="18"/>
          <w:lang w:val="es-ES"/>
        </w:rPr>
        <w:t>. P</w:t>
      </w:r>
      <w:r w:rsidR="007F5358" w:rsidRPr="00A62D1C">
        <w:rPr>
          <w:color w:val="131413"/>
          <w:szCs w:val="18"/>
          <w:lang w:val="es-ES"/>
        </w:rPr>
        <w:t>ara conseguir este objetivo, los Miembros interesados podrán acordar cualquier medio adecuado</w:t>
      </w:r>
      <w:r w:rsidR="009220D3" w:rsidRPr="00A62D1C">
        <w:rPr>
          <w:color w:val="131413"/>
          <w:szCs w:val="18"/>
          <w:lang w:val="es-ES"/>
        </w:rPr>
        <w:t xml:space="preserve"> </w:t>
      </w:r>
      <w:r w:rsidR="007F5358" w:rsidRPr="00A62D1C">
        <w:rPr>
          <w:color w:val="131413"/>
          <w:szCs w:val="18"/>
          <w:lang w:val="es-ES"/>
        </w:rPr>
        <w:t>de compensación comercial de los efectos desfavorables de la medida sobre su comercio.</w:t>
      </w:r>
    </w:p>
    <w:p w14:paraId="1538FA1E" w14:textId="31234C33" w:rsidR="007F5358" w:rsidRPr="00A62D1C" w:rsidRDefault="004D4995" w:rsidP="002B743F">
      <w:pPr>
        <w:spacing w:after="240"/>
        <w:rPr>
          <w:szCs w:val="18"/>
          <w:lang w:val="es-ES"/>
        </w:rPr>
      </w:pPr>
      <w:r w:rsidRPr="00A62D1C">
        <w:rPr>
          <w:color w:val="131413"/>
          <w:szCs w:val="18"/>
          <w:lang w:val="es-ES"/>
        </w:rPr>
        <w:t>2.</w:t>
      </w:r>
      <w:r w:rsidRPr="00A62D1C">
        <w:rPr>
          <w:color w:val="131413"/>
          <w:szCs w:val="18"/>
          <w:lang w:val="es-ES"/>
        </w:rPr>
        <w:tab/>
      </w:r>
      <w:r w:rsidR="007F5358" w:rsidRPr="00A62D1C">
        <w:rPr>
          <w:color w:val="131413"/>
          <w:szCs w:val="18"/>
          <w:lang w:val="es-ES"/>
        </w:rPr>
        <w:t>Si en las consultas que se celebren con arreglo al párrafo 3 del artículo 12 no se llega a un acuerdo en un plazo de 30 días, los Miembros exportadores afectados podrán, a más tardar 90</w:t>
      </w:r>
      <w:r w:rsidR="007B34DD" w:rsidRPr="00A62D1C">
        <w:rPr>
          <w:color w:val="131413"/>
          <w:szCs w:val="18"/>
          <w:lang w:val="es-ES"/>
        </w:rPr>
        <w:t> </w:t>
      </w:r>
      <w:r w:rsidR="007F5358" w:rsidRPr="00A62D1C">
        <w:rPr>
          <w:color w:val="131413"/>
          <w:szCs w:val="18"/>
          <w:lang w:val="es-ES"/>
        </w:rPr>
        <w:t>días después de que se haya puesto en aplicación la medida, suspender, al expirar un plazo de 30</w:t>
      </w:r>
      <w:r w:rsidR="007B34DD" w:rsidRPr="00A62D1C">
        <w:rPr>
          <w:color w:val="131413"/>
          <w:szCs w:val="18"/>
          <w:lang w:val="es-ES"/>
        </w:rPr>
        <w:t> </w:t>
      </w:r>
      <w:r w:rsidR="007F5358" w:rsidRPr="00A62D1C">
        <w:rPr>
          <w:color w:val="131413"/>
          <w:szCs w:val="18"/>
          <w:lang w:val="es-ES"/>
        </w:rPr>
        <w:t>días contado a partir de la fecha en que el Consejo del Comercio de Mercancías haya recibido aviso por escrito de tal suspensión, la aplicación, al comercio del Miembro que aplique la medida de salvaguardia, de concesiones u otras obligaciones sustancialmente equivalentes resultantes del</w:t>
      </w:r>
      <w:r w:rsidR="007B34DD" w:rsidRPr="00A62D1C">
        <w:rPr>
          <w:color w:val="131413"/>
          <w:szCs w:val="18"/>
          <w:lang w:val="es-ES"/>
        </w:rPr>
        <w:t> </w:t>
      </w:r>
      <w:r w:rsidR="007F5358" w:rsidRPr="00A62D1C">
        <w:rPr>
          <w:color w:val="131413"/>
          <w:szCs w:val="18"/>
          <w:lang w:val="es-ES"/>
        </w:rPr>
        <w:t>GATT de 1994, cuya suspensión no desapruebe el Consejo del Comercio de Mercancías.</w:t>
      </w:r>
    </w:p>
    <w:p w14:paraId="45E0044D" w14:textId="15015B97" w:rsidR="007F5358" w:rsidRPr="00A62D1C" w:rsidRDefault="004D4995" w:rsidP="002B743F">
      <w:pPr>
        <w:spacing w:after="240"/>
        <w:rPr>
          <w:szCs w:val="18"/>
          <w:lang w:val="es-ES"/>
        </w:rPr>
      </w:pPr>
      <w:r w:rsidRPr="00A62D1C">
        <w:rPr>
          <w:color w:val="131413"/>
          <w:szCs w:val="18"/>
          <w:lang w:val="es-ES"/>
        </w:rPr>
        <w:t>3.</w:t>
      </w:r>
      <w:r w:rsidRPr="00A62D1C">
        <w:rPr>
          <w:color w:val="131413"/>
          <w:szCs w:val="18"/>
          <w:lang w:val="es-ES"/>
        </w:rPr>
        <w:tab/>
      </w:r>
      <w:r w:rsidR="007F5358" w:rsidRPr="00A62D1C">
        <w:rPr>
          <w:color w:val="131413"/>
          <w:szCs w:val="18"/>
          <w:lang w:val="es-ES"/>
        </w:rPr>
        <w:t>No se ejercerá el derecho de suspensión a que se hace referencia en el párrafo 2 durante los tres primeros años de vigencia de una medida de salvaguardia, a condición de que la medida de salvaguardia haya sido adoptada como resultado de un aumento en términos absolutos de las importaciones y de que tal medida se conforme a las disposiciones del presente Acuerdo.</w:t>
      </w:r>
    </w:p>
    <w:p w14:paraId="4B4C725C" w14:textId="77777777" w:rsidR="007F5358" w:rsidRPr="00A62D1C" w:rsidRDefault="007F5358" w:rsidP="004D4995">
      <w:pPr>
        <w:keepNext/>
        <w:spacing w:before="480" w:after="240"/>
        <w:jc w:val="center"/>
        <w:rPr>
          <w:i/>
          <w:iCs/>
          <w:szCs w:val="18"/>
          <w:lang w:val="es-ES"/>
        </w:rPr>
      </w:pPr>
      <w:r w:rsidRPr="00A62D1C">
        <w:rPr>
          <w:i/>
          <w:iCs/>
          <w:color w:val="131413"/>
          <w:szCs w:val="18"/>
          <w:lang w:val="es-ES"/>
        </w:rPr>
        <w:lastRenderedPageBreak/>
        <w:t>Artículo 9</w:t>
      </w:r>
    </w:p>
    <w:p w14:paraId="4ECC0146" w14:textId="77777777" w:rsidR="007F5358" w:rsidRPr="00A62D1C" w:rsidRDefault="007F5358" w:rsidP="004D4995">
      <w:pPr>
        <w:keepNext/>
        <w:spacing w:after="240"/>
        <w:jc w:val="center"/>
        <w:rPr>
          <w:i/>
          <w:iCs/>
          <w:szCs w:val="18"/>
          <w:lang w:val="es-ES"/>
        </w:rPr>
      </w:pPr>
      <w:r w:rsidRPr="00A62D1C">
        <w:rPr>
          <w:i/>
          <w:iCs/>
          <w:color w:val="131413"/>
          <w:szCs w:val="18"/>
          <w:lang w:val="es-ES"/>
        </w:rPr>
        <w:t>Países en desarrollo Miembros</w:t>
      </w:r>
    </w:p>
    <w:p w14:paraId="0359A9B5" w14:textId="397297F8" w:rsidR="007F5358" w:rsidRPr="00A62D1C" w:rsidRDefault="004D4995" w:rsidP="002B743F">
      <w:pPr>
        <w:spacing w:after="24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No se aplicarán medidas de salvaguardia contra un producto originari</w:t>
      </w:r>
      <w:r w:rsidR="002B743F" w:rsidRPr="00A62D1C">
        <w:rPr>
          <w:color w:val="131413"/>
          <w:szCs w:val="18"/>
          <w:lang w:val="es-ES"/>
        </w:rPr>
        <w:t xml:space="preserve">o </w:t>
      </w:r>
      <w:r w:rsidR="007F5358" w:rsidRPr="00A62D1C">
        <w:rPr>
          <w:color w:val="131413"/>
          <w:szCs w:val="18"/>
          <w:lang w:val="es-ES"/>
        </w:rPr>
        <w:t>de un país en desarrollo Miembro cuando la parte que corresponda a éste en las importaciones realizadas por el Miembro importador del producto considerado no exceda del 3 por ciento, a condición de que los países en desarrollo Miembros con una participación en las importaciones menor del 3 por ciento no representen en conjunto más del 9 por ciento de las importaciones totales del producto en cuestión.</w:t>
      </w:r>
      <w:r w:rsidR="009220D3" w:rsidRPr="00A62D1C">
        <w:rPr>
          <w:rStyle w:val="FootnoteReference"/>
          <w:color w:val="131413"/>
          <w:szCs w:val="18"/>
          <w:lang w:val="es-ES"/>
        </w:rPr>
        <w:footnoteReference w:id="2"/>
      </w:r>
    </w:p>
    <w:p w14:paraId="21D03EFA" w14:textId="41D374BD" w:rsidR="007F5358" w:rsidRPr="00A62D1C" w:rsidRDefault="004D4995" w:rsidP="002B743F">
      <w:pPr>
        <w:spacing w:after="240"/>
        <w:rPr>
          <w:szCs w:val="18"/>
          <w:lang w:val="es-ES"/>
        </w:rPr>
      </w:pPr>
      <w:r w:rsidRPr="00A62D1C">
        <w:rPr>
          <w:color w:val="131413"/>
          <w:szCs w:val="18"/>
          <w:lang w:val="es-ES"/>
        </w:rPr>
        <w:t>2.</w:t>
      </w:r>
      <w:r w:rsidRPr="00A62D1C">
        <w:rPr>
          <w:color w:val="131413"/>
          <w:szCs w:val="18"/>
          <w:lang w:val="es-ES"/>
        </w:rPr>
        <w:tab/>
      </w:r>
      <w:r w:rsidR="007F5358" w:rsidRPr="00A62D1C">
        <w:rPr>
          <w:color w:val="131413"/>
          <w:szCs w:val="18"/>
          <w:lang w:val="es-ES"/>
        </w:rPr>
        <w:t>Todo país en desarrollo Miembro tendrá derecho a prorrogar el períod</w:t>
      </w:r>
      <w:r w:rsidR="002B743F" w:rsidRPr="00A62D1C">
        <w:rPr>
          <w:color w:val="131413"/>
          <w:szCs w:val="18"/>
          <w:lang w:val="es-ES"/>
        </w:rPr>
        <w:t xml:space="preserve">o </w:t>
      </w:r>
      <w:r w:rsidR="007F5358" w:rsidRPr="00A62D1C">
        <w:rPr>
          <w:color w:val="131413"/>
          <w:szCs w:val="18"/>
          <w:lang w:val="es-ES"/>
        </w:rPr>
        <w:t>de aplicación de una medida de salvaguardia por un plazo de hasta dos años más allá del período máximo establecido en el párrafo 3 del artículo 7</w:t>
      </w:r>
      <w:r w:rsidR="002B743F" w:rsidRPr="00A62D1C">
        <w:rPr>
          <w:color w:val="131413"/>
          <w:szCs w:val="18"/>
          <w:lang w:val="es-ES"/>
        </w:rPr>
        <w:t>. N</w:t>
      </w:r>
      <w:r w:rsidR="007F5358" w:rsidRPr="00A62D1C">
        <w:rPr>
          <w:color w:val="131413"/>
          <w:szCs w:val="18"/>
          <w:lang w:val="es-ES"/>
        </w:rPr>
        <w:t>o obstant</w:t>
      </w:r>
      <w:r w:rsidR="002B743F" w:rsidRPr="00A62D1C">
        <w:rPr>
          <w:color w:val="131413"/>
          <w:szCs w:val="18"/>
          <w:lang w:val="es-ES"/>
        </w:rPr>
        <w:t xml:space="preserve">e </w:t>
      </w:r>
      <w:r w:rsidR="007F5358" w:rsidRPr="00A62D1C">
        <w:rPr>
          <w:color w:val="131413"/>
          <w:szCs w:val="18"/>
          <w:lang w:val="es-ES"/>
        </w:rPr>
        <w:t>lo dispuesto en el párrafo 5 del artículo 7, un país en desarrollo Miembro tendrá derecho a volver a aplicar una medida de salvaguardia a la importación de un producto que haya estado sujeto a una medida de esa índole, adoptada después de la fecha de entrada en vigor del Acuerdo sobre la OMC, después de un período igual a la mitad de aquel durante el cual se haya aplicado anteriormente tal medida, a condición de que el período de no aplicación sea como mínimo de dos años.</w:t>
      </w:r>
    </w:p>
    <w:p w14:paraId="7B9A7C5B" w14:textId="77777777" w:rsidR="007F5358" w:rsidRPr="00A62D1C" w:rsidRDefault="007F5358" w:rsidP="004D4995">
      <w:pPr>
        <w:spacing w:before="480" w:after="240"/>
        <w:jc w:val="center"/>
        <w:rPr>
          <w:i/>
          <w:iCs/>
          <w:szCs w:val="18"/>
          <w:lang w:val="es-ES"/>
        </w:rPr>
      </w:pPr>
      <w:r w:rsidRPr="00A62D1C">
        <w:rPr>
          <w:i/>
          <w:iCs/>
          <w:color w:val="131413"/>
          <w:szCs w:val="18"/>
          <w:lang w:val="es-ES"/>
        </w:rPr>
        <w:t>Artículo 10</w:t>
      </w:r>
    </w:p>
    <w:p w14:paraId="70A19F00" w14:textId="77777777" w:rsidR="007F5358" w:rsidRPr="00A62D1C" w:rsidRDefault="007F5358" w:rsidP="004D4995">
      <w:pPr>
        <w:spacing w:after="240"/>
        <w:jc w:val="center"/>
        <w:rPr>
          <w:i/>
          <w:iCs/>
          <w:szCs w:val="18"/>
          <w:lang w:val="es-ES"/>
        </w:rPr>
      </w:pPr>
      <w:r w:rsidRPr="00A62D1C">
        <w:rPr>
          <w:i/>
          <w:iCs/>
          <w:color w:val="131413"/>
          <w:szCs w:val="18"/>
          <w:lang w:val="es-ES"/>
        </w:rPr>
        <w:t>Medidas ya vigentes al amparo del artículo XIX</w:t>
      </w:r>
    </w:p>
    <w:p w14:paraId="770F69CD" w14:textId="74D3F6D9" w:rsidR="007F5358" w:rsidRPr="00A62D1C" w:rsidRDefault="004D4995" w:rsidP="002B743F">
      <w:pPr>
        <w:spacing w:after="240"/>
        <w:rPr>
          <w:szCs w:val="18"/>
          <w:lang w:val="es-ES"/>
        </w:rPr>
      </w:pPr>
      <w:r w:rsidRPr="00A62D1C">
        <w:rPr>
          <w:color w:val="131413"/>
          <w:szCs w:val="18"/>
          <w:lang w:val="es-ES"/>
        </w:rPr>
        <w:tab/>
      </w:r>
      <w:r w:rsidR="007F5358" w:rsidRPr="00A62D1C">
        <w:rPr>
          <w:color w:val="131413"/>
          <w:szCs w:val="18"/>
          <w:lang w:val="es-ES"/>
        </w:rPr>
        <w:t>Los Miembros pondrán fin a todas las medidas de salvaguardia adoptadas al amparo del artículo XIX del GATT de 1947 que estén vigentes en la fecha de entrada en vigor del Acuerdo sobre la OMC a más tardar ocho años después de la</w:t>
      </w:r>
      <w:r w:rsidR="009220D3" w:rsidRPr="00A62D1C">
        <w:rPr>
          <w:color w:val="131413"/>
          <w:szCs w:val="18"/>
          <w:lang w:val="es-ES"/>
        </w:rPr>
        <w:t xml:space="preserve"> </w:t>
      </w:r>
      <w:r w:rsidR="007F5358" w:rsidRPr="00A62D1C">
        <w:rPr>
          <w:color w:val="131413"/>
          <w:szCs w:val="18"/>
          <w:lang w:val="es-ES"/>
        </w:rPr>
        <w:t>fecha en que se hayan aplicado por primera vez o cinco años después de la fecha de entrada en vigor del Acuerdo sobre la OMC, si este plazo expirase después.</w:t>
      </w:r>
    </w:p>
    <w:p w14:paraId="28BAD5D2" w14:textId="77777777" w:rsidR="007F5358" w:rsidRPr="00A62D1C" w:rsidRDefault="007F5358" w:rsidP="004D4995">
      <w:pPr>
        <w:spacing w:before="480" w:after="240"/>
        <w:jc w:val="center"/>
        <w:rPr>
          <w:i/>
          <w:iCs/>
          <w:szCs w:val="18"/>
          <w:lang w:val="es-ES"/>
        </w:rPr>
      </w:pPr>
      <w:r w:rsidRPr="00A62D1C">
        <w:rPr>
          <w:i/>
          <w:iCs/>
          <w:color w:val="131413"/>
          <w:szCs w:val="18"/>
          <w:lang w:val="es-ES"/>
        </w:rPr>
        <w:t>Artículo 11</w:t>
      </w:r>
    </w:p>
    <w:p w14:paraId="22A9B29B" w14:textId="77777777" w:rsidR="007F5358" w:rsidRPr="00A62D1C" w:rsidRDefault="007F5358" w:rsidP="004D4995">
      <w:pPr>
        <w:spacing w:after="240"/>
        <w:jc w:val="center"/>
        <w:rPr>
          <w:i/>
          <w:iCs/>
          <w:szCs w:val="18"/>
          <w:lang w:val="es-ES"/>
        </w:rPr>
      </w:pPr>
      <w:r w:rsidRPr="00A62D1C">
        <w:rPr>
          <w:i/>
          <w:iCs/>
          <w:color w:val="131413"/>
          <w:szCs w:val="18"/>
          <w:lang w:val="es-ES"/>
        </w:rPr>
        <w:t>Prohibición y eliminación de determinadas medidas</w:t>
      </w:r>
    </w:p>
    <w:p w14:paraId="6335AB90" w14:textId="322EFF52" w:rsidR="007F5358" w:rsidRPr="00A62D1C" w:rsidRDefault="004D4995" w:rsidP="00CF33A3">
      <w:pPr>
        <w:tabs>
          <w:tab w:val="left" w:pos="567"/>
        </w:tabs>
        <w:spacing w:after="24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a</w:t>
      </w:r>
      <w:r w:rsidR="002B743F" w:rsidRPr="00A62D1C">
        <w:rPr>
          <w:color w:val="131413"/>
          <w:szCs w:val="18"/>
          <w:lang w:val="es-ES"/>
        </w:rPr>
        <w:t>)</w:t>
      </w:r>
      <w:r w:rsidRPr="00A62D1C">
        <w:rPr>
          <w:color w:val="131413"/>
          <w:szCs w:val="18"/>
          <w:lang w:val="es-ES"/>
        </w:rPr>
        <w:tab/>
      </w:r>
      <w:r w:rsidR="007F5358" w:rsidRPr="00A62D1C">
        <w:rPr>
          <w:color w:val="131413"/>
          <w:szCs w:val="18"/>
          <w:lang w:val="es-ES"/>
        </w:rPr>
        <w:t>Ningún Miembro adoptará ni tratará de adoptar medidas de urgencia sobre la importación de productos determinados a tenor de lo dispuesto en el artículo XIX del</w:t>
      </w:r>
      <w:r w:rsidR="00047AAE" w:rsidRPr="00A62D1C">
        <w:rPr>
          <w:color w:val="131413"/>
          <w:szCs w:val="18"/>
          <w:lang w:val="es-ES"/>
        </w:rPr>
        <w:t> </w:t>
      </w:r>
      <w:r w:rsidR="007F5358" w:rsidRPr="00A62D1C">
        <w:rPr>
          <w:color w:val="131413"/>
          <w:szCs w:val="18"/>
          <w:lang w:val="es-ES"/>
        </w:rPr>
        <w:t>GATT de</w:t>
      </w:r>
      <w:r w:rsidR="00F6362F" w:rsidRPr="00A62D1C">
        <w:rPr>
          <w:color w:val="131413"/>
          <w:szCs w:val="18"/>
          <w:lang w:val="es-ES"/>
        </w:rPr>
        <w:t> </w:t>
      </w:r>
      <w:r w:rsidR="007F5358" w:rsidRPr="00A62D1C">
        <w:rPr>
          <w:color w:val="131413"/>
          <w:szCs w:val="18"/>
          <w:lang w:val="es-ES"/>
        </w:rPr>
        <w:t>1994 a menos que tales medidas sean conformes a las disposiciones de dicho artículo aplicadas de conformidad con el presente Acuerdo.</w:t>
      </w:r>
    </w:p>
    <w:p w14:paraId="1D03A98D" w14:textId="0124CA49" w:rsidR="007F5358" w:rsidRPr="00A62D1C" w:rsidRDefault="004D4995" w:rsidP="00CF33A3">
      <w:pPr>
        <w:tabs>
          <w:tab w:val="left" w:pos="567"/>
        </w:tabs>
        <w:spacing w:after="240"/>
        <w:rPr>
          <w:szCs w:val="18"/>
          <w:lang w:val="es-ES"/>
        </w:rPr>
      </w:pPr>
      <w:r w:rsidRPr="00A62D1C">
        <w:rPr>
          <w:color w:val="131413"/>
          <w:szCs w:val="18"/>
          <w:lang w:val="es-ES"/>
        </w:rPr>
        <w:tab/>
        <w:t>b)</w:t>
      </w:r>
      <w:r w:rsidRPr="00A62D1C">
        <w:rPr>
          <w:color w:val="131413"/>
          <w:szCs w:val="18"/>
          <w:lang w:val="es-ES"/>
        </w:rPr>
        <w:tab/>
      </w:r>
      <w:r w:rsidR="007F5358" w:rsidRPr="00A62D1C">
        <w:rPr>
          <w:color w:val="131413"/>
          <w:szCs w:val="18"/>
          <w:lang w:val="es-ES"/>
        </w:rPr>
        <w:t>Además, ningún Miembro tratará de adoptar, adoptará ni mantendrá limitaciones voluntarias de las exportaciones, acuerdos de comercialización ordenada u otras medidas similares respecto de las exportaciones o las importaciones.</w:t>
      </w:r>
      <w:r w:rsidR="009220D3" w:rsidRPr="00A62D1C">
        <w:rPr>
          <w:rStyle w:val="FootnoteReference"/>
          <w:color w:val="131413"/>
          <w:szCs w:val="18"/>
          <w:lang w:val="es-ES"/>
        </w:rPr>
        <w:footnoteReference w:id="3"/>
      </w:r>
      <w:r w:rsidR="009220D3" w:rsidRPr="00A62D1C">
        <w:rPr>
          <w:color w:val="131413"/>
          <w:szCs w:val="18"/>
          <w:vertAlign w:val="superscript"/>
          <w:lang w:val="es-ES"/>
        </w:rPr>
        <w:t>,</w:t>
      </w:r>
      <w:r w:rsidR="008B4A95" w:rsidRPr="00A62D1C">
        <w:rPr>
          <w:color w:val="131413"/>
          <w:szCs w:val="18"/>
          <w:vertAlign w:val="superscript"/>
          <w:lang w:val="es-ES"/>
        </w:rPr>
        <w:t xml:space="preserve"> </w:t>
      </w:r>
      <w:r w:rsidR="009220D3" w:rsidRPr="00A62D1C">
        <w:rPr>
          <w:rStyle w:val="FootnoteReference"/>
          <w:color w:val="131413"/>
          <w:szCs w:val="18"/>
          <w:lang w:val="es-ES"/>
        </w:rPr>
        <w:footnoteReference w:id="4"/>
      </w:r>
      <w:r w:rsidR="007F5358" w:rsidRPr="00A62D1C">
        <w:rPr>
          <w:color w:val="131413"/>
          <w:szCs w:val="18"/>
          <w:lang w:val="es-ES"/>
        </w:rPr>
        <w:t xml:space="preserve"> Quedan comprendidas tanto las medidas tomadas por un solo Miembro como las adoptadas en el marco de acuerdos, convenios y entendimientos concertados por dos o más Miembros</w:t>
      </w:r>
      <w:r w:rsidR="002B743F" w:rsidRPr="00A62D1C">
        <w:rPr>
          <w:color w:val="131413"/>
          <w:szCs w:val="18"/>
          <w:lang w:val="es-ES"/>
        </w:rPr>
        <w:t>. T</w:t>
      </w:r>
      <w:r w:rsidR="007F5358" w:rsidRPr="00A62D1C">
        <w:rPr>
          <w:color w:val="131413"/>
          <w:szCs w:val="18"/>
          <w:lang w:val="es-ES"/>
        </w:rPr>
        <w:t>oda medida de esta índole que esté vigente en la fecha de entrada en vigor del Acuerdo sobre la OMC se pondrá en conformidad con el presente Acuerdo o será progresivamente eliminada con arreglo a lo dispuesto en el párrafo 2.</w:t>
      </w:r>
    </w:p>
    <w:p w14:paraId="308C51D4" w14:textId="1F34C4C1" w:rsidR="007F5358" w:rsidRPr="00A62D1C" w:rsidRDefault="004D4995" w:rsidP="00CF33A3">
      <w:pPr>
        <w:tabs>
          <w:tab w:val="left" w:pos="567"/>
        </w:tabs>
        <w:spacing w:after="240"/>
        <w:rPr>
          <w:szCs w:val="18"/>
          <w:lang w:val="es-ES"/>
        </w:rPr>
      </w:pPr>
      <w:r w:rsidRPr="00A62D1C">
        <w:rPr>
          <w:color w:val="131413"/>
          <w:szCs w:val="18"/>
          <w:lang w:val="es-ES"/>
        </w:rPr>
        <w:tab/>
        <w:t>c)</w:t>
      </w:r>
      <w:r w:rsidRPr="00A62D1C">
        <w:rPr>
          <w:color w:val="131413"/>
          <w:szCs w:val="18"/>
          <w:lang w:val="es-ES"/>
        </w:rPr>
        <w:tab/>
      </w:r>
      <w:r w:rsidR="007F5358" w:rsidRPr="00A62D1C">
        <w:rPr>
          <w:color w:val="131413"/>
          <w:szCs w:val="18"/>
          <w:lang w:val="es-ES"/>
        </w:rPr>
        <w:t>El presente Acuerdo no es aplicable a las medidas que un Miembro trate de adoptar, adopte o mantenga de conformidad con otras disposiciones del GATT de 1994, aparte del artículo</w:t>
      </w:r>
      <w:r w:rsidR="00047AAE" w:rsidRPr="00A62D1C">
        <w:rPr>
          <w:color w:val="131413"/>
          <w:szCs w:val="18"/>
          <w:lang w:val="es-ES"/>
        </w:rPr>
        <w:t xml:space="preserve"> </w:t>
      </w:r>
      <w:r w:rsidR="007F5358" w:rsidRPr="00A62D1C">
        <w:rPr>
          <w:color w:val="131413"/>
          <w:szCs w:val="18"/>
          <w:lang w:val="es-ES"/>
        </w:rPr>
        <w:lastRenderedPageBreak/>
        <w:t>XIX, y de los Acuerdos Comerciales Multilaterales incluidos en el Anexo 1A, aparte del presente Acuerdo, o de conformidad con protocolos y acuerdos o convenios concluidos en el marco del GATT de 1994.</w:t>
      </w:r>
    </w:p>
    <w:p w14:paraId="61E1D1AD" w14:textId="041E5427" w:rsidR="007F5358" w:rsidRPr="00A62D1C" w:rsidRDefault="004D4995" w:rsidP="002B743F">
      <w:pPr>
        <w:spacing w:after="240"/>
        <w:rPr>
          <w:szCs w:val="18"/>
          <w:lang w:val="es-ES"/>
        </w:rPr>
      </w:pPr>
      <w:r w:rsidRPr="00A62D1C">
        <w:rPr>
          <w:color w:val="131413"/>
          <w:szCs w:val="18"/>
          <w:lang w:val="es-ES"/>
        </w:rPr>
        <w:t>2.</w:t>
      </w:r>
      <w:r w:rsidRPr="00A62D1C">
        <w:rPr>
          <w:color w:val="131413"/>
          <w:szCs w:val="18"/>
          <w:lang w:val="es-ES"/>
        </w:rPr>
        <w:tab/>
      </w:r>
      <w:r w:rsidR="007F5358" w:rsidRPr="00A62D1C">
        <w:rPr>
          <w:color w:val="131413"/>
          <w:szCs w:val="18"/>
          <w:lang w:val="es-ES"/>
        </w:rPr>
        <w:t>La eliminación progresiva de las medidas a que se refiere el apartado b) del párrafo 1 se llevará a cabo con arreglo a calendarios que los Miembros interesados presentarán al Comité de Salvaguardias a más tardar 180 días después de la fecha de entrada en vigor del Acuerdo sobre la</w:t>
      </w:r>
      <w:r w:rsidR="00CA2F87" w:rsidRPr="00A62D1C">
        <w:rPr>
          <w:color w:val="131413"/>
          <w:szCs w:val="18"/>
          <w:lang w:val="es-ES"/>
        </w:rPr>
        <w:t> </w:t>
      </w:r>
      <w:r w:rsidR="007F5358" w:rsidRPr="00A62D1C">
        <w:rPr>
          <w:color w:val="131413"/>
          <w:szCs w:val="18"/>
          <w:lang w:val="es-ES"/>
        </w:rPr>
        <w:t>OMC</w:t>
      </w:r>
      <w:r w:rsidR="002B743F" w:rsidRPr="00A62D1C">
        <w:rPr>
          <w:color w:val="131413"/>
          <w:szCs w:val="18"/>
          <w:lang w:val="es-ES"/>
        </w:rPr>
        <w:t>. E</w:t>
      </w:r>
      <w:r w:rsidR="007F5358" w:rsidRPr="00A62D1C">
        <w:rPr>
          <w:color w:val="131413"/>
          <w:szCs w:val="18"/>
          <w:lang w:val="es-ES"/>
        </w:rPr>
        <w:t>n dichos calendarios se preverá que todas las medidas mencionadas en el párrafo 1 sean progresivamente eliminadas o se pongan en conformidad con el presente Acuerdo en un plazo que no exceda de cuatro años contados a partir de la fecha de entrada en vigor del Acuerdo sobre la</w:t>
      </w:r>
      <w:r w:rsidR="00CA2F87" w:rsidRPr="00A62D1C">
        <w:rPr>
          <w:color w:val="131413"/>
          <w:szCs w:val="18"/>
          <w:lang w:val="es-ES"/>
        </w:rPr>
        <w:t> </w:t>
      </w:r>
      <w:r w:rsidR="007F5358" w:rsidRPr="00A62D1C">
        <w:rPr>
          <w:color w:val="131413"/>
          <w:szCs w:val="18"/>
          <w:lang w:val="es-ES"/>
        </w:rPr>
        <w:t>OMC, con excepción de una medida específica como máximo por Miembro importador</w:t>
      </w:r>
      <w:r w:rsidR="00A93F91" w:rsidRPr="00A62D1C">
        <w:rPr>
          <w:rStyle w:val="FootnoteReference"/>
          <w:color w:val="131413"/>
          <w:szCs w:val="18"/>
          <w:lang w:val="es-ES"/>
        </w:rPr>
        <w:footnoteReference w:id="5"/>
      </w:r>
      <w:r w:rsidR="007F5358" w:rsidRPr="00A62D1C">
        <w:rPr>
          <w:color w:val="131413"/>
          <w:szCs w:val="18"/>
          <w:lang w:val="es-ES"/>
        </w:rPr>
        <w:t>, cuya duración no se prolongará más allá del 31 de diciembre de 1999</w:t>
      </w:r>
      <w:r w:rsidR="002B743F" w:rsidRPr="00A62D1C">
        <w:rPr>
          <w:color w:val="131413"/>
          <w:szCs w:val="18"/>
          <w:lang w:val="es-ES"/>
        </w:rPr>
        <w:t>. T</w:t>
      </w:r>
      <w:r w:rsidR="007F5358" w:rsidRPr="00A62D1C">
        <w:rPr>
          <w:color w:val="131413"/>
          <w:szCs w:val="18"/>
          <w:lang w:val="es-ES"/>
        </w:rPr>
        <w:t>oda excepción de esta índole deberá ser objeto de mutuo acuerdo d</w:t>
      </w:r>
      <w:r w:rsidR="002B743F" w:rsidRPr="00A62D1C">
        <w:rPr>
          <w:color w:val="131413"/>
          <w:szCs w:val="18"/>
          <w:lang w:val="es-ES"/>
        </w:rPr>
        <w:t xml:space="preserve">e </w:t>
      </w:r>
      <w:r w:rsidR="007F5358" w:rsidRPr="00A62D1C">
        <w:rPr>
          <w:color w:val="131413"/>
          <w:szCs w:val="18"/>
          <w:lang w:val="es-ES"/>
        </w:rPr>
        <w:t>los</w:t>
      </w:r>
      <w:r w:rsidR="00A93F91" w:rsidRPr="00A62D1C">
        <w:rPr>
          <w:color w:val="131413"/>
          <w:szCs w:val="18"/>
          <w:lang w:val="es-ES"/>
        </w:rPr>
        <w:t xml:space="preserve"> </w:t>
      </w:r>
      <w:r w:rsidR="007F5358" w:rsidRPr="00A62D1C">
        <w:rPr>
          <w:color w:val="131413"/>
          <w:szCs w:val="18"/>
          <w:lang w:val="es-ES"/>
        </w:rPr>
        <w:t>Miembros directamente interesados y notificada al Comité de Salvaguardias para su examen y aceptación dentro de los 90 días siguientes a la entrada en vigor del Acuerdo sobre la OMC</w:t>
      </w:r>
      <w:r w:rsidR="002B743F" w:rsidRPr="00A62D1C">
        <w:rPr>
          <w:color w:val="131413"/>
          <w:szCs w:val="18"/>
          <w:lang w:val="es-ES"/>
        </w:rPr>
        <w:t>. E</w:t>
      </w:r>
      <w:r w:rsidR="007F5358" w:rsidRPr="00A62D1C">
        <w:rPr>
          <w:color w:val="131413"/>
          <w:szCs w:val="18"/>
          <w:lang w:val="es-ES"/>
        </w:rPr>
        <w:t>n el Anexo del presente Acuerdo se indica una medida que se ha convenido en considerar amparada por esta excepción.</w:t>
      </w:r>
    </w:p>
    <w:p w14:paraId="2F35D4E2" w14:textId="5DC0E4F0" w:rsidR="007F5358" w:rsidRPr="00A62D1C" w:rsidRDefault="004D4995" w:rsidP="002B743F">
      <w:pPr>
        <w:spacing w:after="240"/>
        <w:rPr>
          <w:szCs w:val="18"/>
          <w:lang w:val="es-ES"/>
        </w:rPr>
      </w:pPr>
      <w:r w:rsidRPr="00A62D1C">
        <w:rPr>
          <w:color w:val="131413"/>
          <w:szCs w:val="18"/>
          <w:lang w:val="es-ES"/>
        </w:rPr>
        <w:t>3.</w:t>
      </w:r>
      <w:r w:rsidRPr="00A62D1C">
        <w:rPr>
          <w:color w:val="131413"/>
          <w:szCs w:val="18"/>
          <w:lang w:val="es-ES"/>
        </w:rPr>
        <w:tab/>
      </w:r>
      <w:r w:rsidR="007F5358" w:rsidRPr="00A62D1C">
        <w:rPr>
          <w:color w:val="131413"/>
          <w:szCs w:val="18"/>
          <w:lang w:val="es-ES"/>
        </w:rPr>
        <w:t>Los Miembros no alentarán ni apoyarán la adopción o el mantenimiento, por empresas públicas o privadas, de medidas no gubernamentales equivalentes a las medidas a que se hace referencia en el párrafo 1.</w:t>
      </w:r>
    </w:p>
    <w:p w14:paraId="60D0CFA0" w14:textId="77777777" w:rsidR="007F5358" w:rsidRPr="00A62D1C" w:rsidRDefault="007F5358" w:rsidP="004D4995">
      <w:pPr>
        <w:spacing w:before="480" w:after="240"/>
        <w:jc w:val="center"/>
        <w:rPr>
          <w:i/>
          <w:iCs/>
          <w:szCs w:val="18"/>
          <w:lang w:val="es-ES"/>
        </w:rPr>
      </w:pPr>
      <w:r w:rsidRPr="00A62D1C">
        <w:rPr>
          <w:i/>
          <w:iCs/>
          <w:color w:val="131413"/>
          <w:szCs w:val="18"/>
          <w:lang w:val="es-ES"/>
        </w:rPr>
        <w:t>Artículo 12</w:t>
      </w:r>
    </w:p>
    <w:p w14:paraId="45BA07DD" w14:textId="77777777" w:rsidR="007F5358" w:rsidRPr="00A62D1C" w:rsidRDefault="007F5358" w:rsidP="004D4995">
      <w:pPr>
        <w:spacing w:after="240"/>
        <w:jc w:val="center"/>
        <w:rPr>
          <w:i/>
          <w:iCs/>
          <w:szCs w:val="18"/>
          <w:lang w:val="es-ES"/>
        </w:rPr>
      </w:pPr>
      <w:r w:rsidRPr="00A62D1C">
        <w:rPr>
          <w:i/>
          <w:iCs/>
          <w:color w:val="131413"/>
          <w:szCs w:val="18"/>
          <w:lang w:val="es-ES"/>
        </w:rPr>
        <w:t>Notificaciones y consultas</w:t>
      </w:r>
    </w:p>
    <w:p w14:paraId="0CCC81DB" w14:textId="76EEB234" w:rsidR="007F5358" w:rsidRPr="00A62D1C" w:rsidRDefault="004D4995" w:rsidP="002B743F">
      <w:pPr>
        <w:spacing w:after="24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Todo Miembro hará inmediatamente una notificación al Comité de Salvaguardias cuando:</w:t>
      </w:r>
    </w:p>
    <w:p w14:paraId="1C9E567F" w14:textId="31201713" w:rsidR="007F5358" w:rsidRPr="00A62D1C" w:rsidRDefault="004D4995" w:rsidP="004D4995">
      <w:pPr>
        <w:spacing w:after="240"/>
        <w:ind w:left="1134" w:hanging="567"/>
        <w:rPr>
          <w:szCs w:val="18"/>
          <w:lang w:val="es-ES"/>
        </w:rPr>
      </w:pPr>
      <w:r w:rsidRPr="00A62D1C">
        <w:rPr>
          <w:color w:val="131413"/>
          <w:szCs w:val="18"/>
          <w:lang w:val="es-ES"/>
        </w:rPr>
        <w:t>a)</w:t>
      </w:r>
      <w:r w:rsidRPr="00A62D1C">
        <w:rPr>
          <w:color w:val="131413"/>
          <w:szCs w:val="18"/>
          <w:lang w:val="es-ES"/>
        </w:rPr>
        <w:tab/>
      </w:r>
      <w:r w:rsidR="007F5358" w:rsidRPr="00A62D1C">
        <w:rPr>
          <w:color w:val="131413"/>
          <w:szCs w:val="18"/>
          <w:lang w:val="es-ES"/>
        </w:rPr>
        <w:t>inicie un proceso de investigación relativo al daño grave o la amenaza de daño grave y a los motivos del mismo;</w:t>
      </w:r>
    </w:p>
    <w:p w14:paraId="016918DD" w14:textId="0F88FDB1" w:rsidR="007F5358" w:rsidRPr="00A62D1C" w:rsidRDefault="004D4995" w:rsidP="004D4995">
      <w:pPr>
        <w:spacing w:after="240"/>
        <w:ind w:left="1134" w:hanging="567"/>
        <w:rPr>
          <w:szCs w:val="18"/>
          <w:lang w:val="es-ES"/>
        </w:rPr>
      </w:pPr>
      <w:r w:rsidRPr="00A62D1C">
        <w:rPr>
          <w:color w:val="131413"/>
          <w:szCs w:val="18"/>
          <w:lang w:val="es-ES"/>
        </w:rPr>
        <w:t>b)</w:t>
      </w:r>
      <w:r w:rsidRPr="00A62D1C">
        <w:rPr>
          <w:color w:val="131413"/>
          <w:szCs w:val="18"/>
          <w:lang w:val="es-ES"/>
        </w:rPr>
        <w:tab/>
      </w:r>
      <w:r w:rsidR="007F5358" w:rsidRPr="00A62D1C">
        <w:rPr>
          <w:color w:val="131413"/>
          <w:szCs w:val="18"/>
          <w:lang w:val="es-ES"/>
        </w:rPr>
        <w:t>constate que existe daño grave o amenaza de daño grave a causa del aumento de las importaciones</w:t>
      </w:r>
      <w:r w:rsidR="002B743F" w:rsidRPr="00A62D1C">
        <w:rPr>
          <w:color w:val="131413"/>
          <w:szCs w:val="18"/>
          <w:lang w:val="es-ES"/>
        </w:rPr>
        <w:t>; y</w:t>
      </w:r>
    </w:p>
    <w:p w14:paraId="37EB77C7" w14:textId="746E1C44" w:rsidR="007F5358" w:rsidRPr="00A62D1C" w:rsidRDefault="004D4995" w:rsidP="004D4995">
      <w:pPr>
        <w:spacing w:after="240"/>
        <w:ind w:left="1134" w:hanging="567"/>
        <w:rPr>
          <w:szCs w:val="18"/>
          <w:lang w:val="es-ES"/>
        </w:rPr>
      </w:pPr>
      <w:r w:rsidRPr="00A62D1C">
        <w:rPr>
          <w:color w:val="131413"/>
          <w:szCs w:val="18"/>
          <w:lang w:val="es-ES"/>
        </w:rPr>
        <w:t>c)</w:t>
      </w:r>
      <w:r w:rsidRPr="00A62D1C">
        <w:rPr>
          <w:color w:val="131413"/>
          <w:szCs w:val="18"/>
          <w:lang w:val="es-ES"/>
        </w:rPr>
        <w:tab/>
      </w:r>
      <w:r w:rsidR="007F5358" w:rsidRPr="00A62D1C">
        <w:rPr>
          <w:color w:val="131413"/>
          <w:szCs w:val="18"/>
          <w:lang w:val="es-ES"/>
        </w:rPr>
        <w:t>adopte la decisión de aplicar o prorrogar una medida de salvaguardia.</w:t>
      </w:r>
    </w:p>
    <w:p w14:paraId="5F5EEE8D" w14:textId="6C03A881" w:rsidR="007F5358" w:rsidRPr="00A62D1C" w:rsidRDefault="004D4995" w:rsidP="002B743F">
      <w:pPr>
        <w:spacing w:after="240"/>
        <w:rPr>
          <w:szCs w:val="18"/>
          <w:lang w:val="es-ES"/>
        </w:rPr>
      </w:pPr>
      <w:r w:rsidRPr="00A62D1C">
        <w:rPr>
          <w:color w:val="131413"/>
          <w:szCs w:val="18"/>
          <w:lang w:val="es-ES"/>
        </w:rPr>
        <w:t>2.</w:t>
      </w:r>
      <w:r w:rsidRPr="00A62D1C">
        <w:rPr>
          <w:color w:val="131413"/>
          <w:szCs w:val="18"/>
          <w:lang w:val="es-ES"/>
        </w:rPr>
        <w:tab/>
      </w:r>
      <w:r w:rsidR="007F5358" w:rsidRPr="00A62D1C">
        <w:rPr>
          <w:color w:val="131413"/>
          <w:szCs w:val="18"/>
          <w:lang w:val="es-ES"/>
        </w:rPr>
        <w:t>Al hacer las notificaciones a que se refieren los apartados b) y c) del párrafo 1, el Miembro que se proponga aplicar o prorrogar una medida de salvaguardia proporcionará al Comité de Salvaguardias toda la información pertinente, que incluirá pruebas del daño grave o la amenaza de daño grave causados po</w:t>
      </w:r>
      <w:r w:rsidR="002B743F" w:rsidRPr="00A62D1C">
        <w:rPr>
          <w:color w:val="131413"/>
          <w:szCs w:val="18"/>
          <w:lang w:val="es-ES"/>
        </w:rPr>
        <w:t xml:space="preserve">r </w:t>
      </w:r>
      <w:r w:rsidR="007F5358" w:rsidRPr="00A62D1C">
        <w:rPr>
          <w:color w:val="131413"/>
          <w:szCs w:val="18"/>
          <w:lang w:val="es-ES"/>
        </w:rPr>
        <w:t>el aumento de las importaciones, la descripción precisa del producto de que se trate y de la medida propuesta, la fecha propuesta de introducción de la medida, su duración prevista y el calendario para su liberalización progresiva</w:t>
      </w:r>
      <w:r w:rsidR="002B743F" w:rsidRPr="00A62D1C">
        <w:rPr>
          <w:color w:val="131413"/>
          <w:szCs w:val="18"/>
          <w:lang w:val="es-ES"/>
        </w:rPr>
        <w:t>. E</w:t>
      </w:r>
      <w:r w:rsidR="007F5358" w:rsidRPr="00A62D1C">
        <w:rPr>
          <w:color w:val="131413"/>
          <w:szCs w:val="18"/>
          <w:lang w:val="es-ES"/>
        </w:rPr>
        <w:t>n caso de prórroga de una medida, también se facilitarán pruebas de que la rama de producción de que se trate está en proceso de reajuste</w:t>
      </w:r>
      <w:r w:rsidR="002B743F" w:rsidRPr="00A62D1C">
        <w:rPr>
          <w:color w:val="131413"/>
          <w:szCs w:val="18"/>
          <w:lang w:val="es-ES"/>
        </w:rPr>
        <w:t>. E</w:t>
      </w:r>
      <w:r w:rsidR="007F5358" w:rsidRPr="00A62D1C">
        <w:rPr>
          <w:color w:val="131413"/>
          <w:szCs w:val="18"/>
          <w:lang w:val="es-ES"/>
        </w:rPr>
        <w:t>l Consejo del Comercio de Mercancías o el Comité de Salvaguardias podrán pedir la información adicional que consideren necesaria al Miembro que se proponga aplicar o prorrogar la medida.</w:t>
      </w:r>
    </w:p>
    <w:p w14:paraId="57F273AF" w14:textId="29E93BC4" w:rsidR="007F5358" w:rsidRPr="00A62D1C" w:rsidRDefault="004D4995" w:rsidP="002B743F">
      <w:pPr>
        <w:spacing w:after="240"/>
        <w:rPr>
          <w:szCs w:val="18"/>
          <w:lang w:val="es-ES"/>
        </w:rPr>
      </w:pPr>
      <w:r w:rsidRPr="00A62D1C">
        <w:rPr>
          <w:color w:val="131413"/>
          <w:szCs w:val="18"/>
          <w:lang w:val="es-ES"/>
        </w:rPr>
        <w:t>3.</w:t>
      </w:r>
      <w:r w:rsidRPr="00A62D1C">
        <w:rPr>
          <w:color w:val="131413"/>
          <w:szCs w:val="18"/>
          <w:lang w:val="es-ES"/>
        </w:rPr>
        <w:tab/>
      </w:r>
      <w:r w:rsidR="007F5358" w:rsidRPr="00A62D1C">
        <w:rPr>
          <w:color w:val="131413"/>
          <w:szCs w:val="18"/>
          <w:lang w:val="es-ES"/>
        </w:rPr>
        <w:t>El Miembro que se proponga aplicar o prorrogar una medida de salvaguardia dará oportunidades adecuadas para que se celebren consultas previas con los Miembros que tengan un interés sustancial como exportadores del producto de que se trate, con el fin de, entre otras cosas, examinar la información proporcionada en virtud del párrafo 2, intercambiar opiniones sobre la medida y llegar a un entendimiento sobre las formas de alcanzar el objetivo enunciado en el párrafo</w:t>
      </w:r>
      <w:r w:rsidRPr="00A62D1C">
        <w:rPr>
          <w:color w:val="131413"/>
          <w:szCs w:val="18"/>
          <w:lang w:val="es-ES"/>
        </w:rPr>
        <w:t> </w:t>
      </w:r>
      <w:r w:rsidR="007F5358" w:rsidRPr="00A62D1C">
        <w:rPr>
          <w:color w:val="131413"/>
          <w:szCs w:val="18"/>
          <w:lang w:val="es-ES"/>
        </w:rPr>
        <w:t>1 del artículo 8.</w:t>
      </w:r>
    </w:p>
    <w:p w14:paraId="0B4CDFF6" w14:textId="499B3076" w:rsidR="007F5358" w:rsidRPr="00A62D1C" w:rsidRDefault="004D4995" w:rsidP="002B743F">
      <w:pPr>
        <w:spacing w:after="240"/>
        <w:rPr>
          <w:szCs w:val="18"/>
          <w:lang w:val="es-ES"/>
        </w:rPr>
      </w:pPr>
      <w:r w:rsidRPr="00A62D1C">
        <w:rPr>
          <w:color w:val="131413"/>
          <w:szCs w:val="18"/>
          <w:lang w:val="es-ES"/>
        </w:rPr>
        <w:t>4.</w:t>
      </w:r>
      <w:r w:rsidRPr="00A62D1C">
        <w:rPr>
          <w:color w:val="131413"/>
          <w:szCs w:val="18"/>
          <w:lang w:val="es-ES"/>
        </w:rPr>
        <w:tab/>
      </w:r>
      <w:r w:rsidR="007F5358" w:rsidRPr="00A62D1C">
        <w:rPr>
          <w:color w:val="131413"/>
          <w:szCs w:val="18"/>
          <w:lang w:val="es-ES"/>
        </w:rPr>
        <w:t>Antes de adoptar una medida de salvaguardia provisional de las previstas en el artículo 6, los Miembros harán una notificación al Comité de Salvaguardias</w:t>
      </w:r>
      <w:r w:rsidR="002B743F" w:rsidRPr="00A62D1C">
        <w:rPr>
          <w:color w:val="131413"/>
          <w:szCs w:val="18"/>
          <w:lang w:val="es-ES"/>
        </w:rPr>
        <w:t>. S</w:t>
      </w:r>
      <w:r w:rsidR="007F5358" w:rsidRPr="00A62D1C">
        <w:rPr>
          <w:color w:val="131413"/>
          <w:szCs w:val="18"/>
          <w:lang w:val="es-ES"/>
        </w:rPr>
        <w:t>e iniciarán consultas inmediatamente después de adoptada la medida.</w:t>
      </w:r>
    </w:p>
    <w:p w14:paraId="0F835838" w14:textId="7E54F33B" w:rsidR="007F5358" w:rsidRPr="00A62D1C" w:rsidRDefault="004D4995" w:rsidP="002B743F">
      <w:pPr>
        <w:spacing w:after="240"/>
        <w:rPr>
          <w:szCs w:val="18"/>
          <w:lang w:val="es-ES"/>
        </w:rPr>
      </w:pPr>
      <w:r w:rsidRPr="00A62D1C">
        <w:rPr>
          <w:color w:val="131413"/>
          <w:szCs w:val="18"/>
          <w:lang w:val="es-ES"/>
        </w:rPr>
        <w:lastRenderedPageBreak/>
        <w:t>5.</w:t>
      </w:r>
      <w:r w:rsidRPr="00A62D1C">
        <w:rPr>
          <w:color w:val="131413"/>
          <w:szCs w:val="18"/>
          <w:lang w:val="es-ES"/>
        </w:rPr>
        <w:tab/>
      </w:r>
      <w:r w:rsidR="007F5358" w:rsidRPr="00A62D1C">
        <w:rPr>
          <w:color w:val="131413"/>
          <w:szCs w:val="18"/>
          <w:lang w:val="es-ES"/>
        </w:rPr>
        <w:t>Los Miembros interesados notificarán inmediatamente al Consejo del Comercio de Mercancías los resultados de las consultas a que se hace referencia en el presente artículo, así como los resultados de los exámenes a mitad de período mencionados en el párrafo 4 del artículo</w:t>
      </w:r>
      <w:r w:rsidR="00114E69" w:rsidRPr="00A62D1C">
        <w:rPr>
          <w:color w:val="131413"/>
          <w:szCs w:val="18"/>
          <w:lang w:val="es-ES"/>
        </w:rPr>
        <w:t> </w:t>
      </w:r>
      <w:r w:rsidR="007F5358" w:rsidRPr="00A62D1C">
        <w:rPr>
          <w:color w:val="131413"/>
          <w:szCs w:val="18"/>
          <w:lang w:val="es-ES"/>
        </w:rPr>
        <w:t>7, los medios de compensación</w:t>
      </w:r>
      <w:r w:rsidR="00A93F91" w:rsidRPr="00A62D1C">
        <w:rPr>
          <w:color w:val="131413"/>
          <w:szCs w:val="18"/>
          <w:lang w:val="es-ES"/>
        </w:rPr>
        <w:t xml:space="preserve"> </w:t>
      </w:r>
      <w:r w:rsidR="007F5358" w:rsidRPr="00A62D1C">
        <w:rPr>
          <w:color w:val="131413"/>
          <w:szCs w:val="18"/>
          <w:lang w:val="es-ES"/>
        </w:rPr>
        <w:t>a que se hace referencia en el párrafo 1 del artículo 8 y las suspensiones previstas de concesiones y otras obligaciones a que se refiere el párrafo 2 del artículo</w:t>
      </w:r>
      <w:r w:rsidR="009A68F8" w:rsidRPr="00A62D1C">
        <w:rPr>
          <w:color w:val="131413"/>
          <w:szCs w:val="18"/>
          <w:lang w:val="es-ES"/>
        </w:rPr>
        <w:t> </w:t>
      </w:r>
      <w:r w:rsidR="007F5358" w:rsidRPr="00A62D1C">
        <w:rPr>
          <w:color w:val="131413"/>
          <w:szCs w:val="18"/>
          <w:lang w:val="es-ES"/>
        </w:rPr>
        <w:t>8.</w:t>
      </w:r>
    </w:p>
    <w:p w14:paraId="3CDC0807" w14:textId="108FAEEE" w:rsidR="007F5358" w:rsidRPr="00A62D1C" w:rsidRDefault="004D4995" w:rsidP="002B743F">
      <w:pPr>
        <w:spacing w:after="240"/>
        <w:rPr>
          <w:szCs w:val="18"/>
          <w:lang w:val="es-ES"/>
        </w:rPr>
      </w:pPr>
      <w:r w:rsidRPr="00A62D1C">
        <w:rPr>
          <w:color w:val="131413"/>
          <w:szCs w:val="18"/>
          <w:lang w:val="es-ES"/>
        </w:rPr>
        <w:t>6.</w:t>
      </w:r>
      <w:r w:rsidRPr="00A62D1C">
        <w:rPr>
          <w:color w:val="131413"/>
          <w:szCs w:val="18"/>
          <w:lang w:val="es-ES"/>
        </w:rPr>
        <w:tab/>
      </w:r>
      <w:r w:rsidR="007F5358" w:rsidRPr="00A62D1C">
        <w:rPr>
          <w:color w:val="131413"/>
          <w:szCs w:val="18"/>
          <w:lang w:val="es-ES"/>
        </w:rPr>
        <w:t>Los Miembros notificarán con prontitud al Comité de Salvaguardias sus leyes, reglamentos y procedimientos administrativos en materia de medidas de salvaguardia, así como toda modificación de los mismos.</w:t>
      </w:r>
    </w:p>
    <w:p w14:paraId="602CCA69" w14:textId="188EA1FB" w:rsidR="007F5358" w:rsidRPr="00A62D1C" w:rsidRDefault="004D4995" w:rsidP="002B743F">
      <w:pPr>
        <w:spacing w:after="240"/>
        <w:rPr>
          <w:szCs w:val="18"/>
          <w:lang w:val="es-ES"/>
        </w:rPr>
      </w:pPr>
      <w:r w:rsidRPr="00A62D1C">
        <w:rPr>
          <w:color w:val="131413"/>
          <w:szCs w:val="18"/>
          <w:lang w:val="es-ES"/>
        </w:rPr>
        <w:t>7.</w:t>
      </w:r>
      <w:r w:rsidRPr="00A62D1C">
        <w:rPr>
          <w:color w:val="131413"/>
          <w:szCs w:val="18"/>
          <w:lang w:val="es-ES"/>
        </w:rPr>
        <w:tab/>
      </w:r>
      <w:r w:rsidR="007F5358" w:rsidRPr="00A62D1C">
        <w:rPr>
          <w:color w:val="131413"/>
          <w:szCs w:val="18"/>
          <w:lang w:val="es-ES"/>
        </w:rPr>
        <w:t>Los Miembros que en la fecha de entrada en vigor del Acuerdo sobre la OMC tengan vigentes medidas comprendidas en el artículo 10 y el párrafo 1 del artículo 11 notificarán dichas medidas al Comité de Salvaguardias a más tardar 60 días después de la fecha de entrada en vigor del Acuerdo sobre la OMC.</w:t>
      </w:r>
    </w:p>
    <w:p w14:paraId="315DFE21" w14:textId="48F8823D" w:rsidR="007F5358" w:rsidRPr="00A62D1C" w:rsidRDefault="004D4995" w:rsidP="002B743F">
      <w:pPr>
        <w:spacing w:after="240"/>
        <w:rPr>
          <w:szCs w:val="18"/>
          <w:lang w:val="es-ES"/>
        </w:rPr>
      </w:pPr>
      <w:r w:rsidRPr="00A62D1C">
        <w:rPr>
          <w:color w:val="131413"/>
          <w:szCs w:val="18"/>
          <w:lang w:val="es-ES"/>
        </w:rPr>
        <w:t>8.</w:t>
      </w:r>
      <w:r w:rsidRPr="00A62D1C">
        <w:rPr>
          <w:color w:val="131413"/>
          <w:szCs w:val="18"/>
          <w:lang w:val="es-ES"/>
        </w:rPr>
        <w:tab/>
      </w:r>
      <w:r w:rsidR="007F5358" w:rsidRPr="00A62D1C">
        <w:rPr>
          <w:color w:val="131413"/>
          <w:szCs w:val="18"/>
          <w:lang w:val="es-ES"/>
        </w:rPr>
        <w:t>Cualquier Miembro podrá notificar al Comité de Salvaguardias todas las leyes, reglamentos y procedimientos administrativos y cualquier medida o acción objeto del presente Acuerdo que no hayan sido notificados por otros Miembros a los que el presente Acuerdo imponga la obligación de notificarlos.</w:t>
      </w:r>
    </w:p>
    <w:p w14:paraId="7DEB059C" w14:textId="6AD80112" w:rsidR="007F5358" w:rsidRPr="00A62D1C" w:rsidRDefault="004D4995" w:rsidP="002B743F">
      <w:pPr>
        <w:spacing w:after="240"/>
        <w:rPr>
          <w:szCs w:val="18"/>
          <w:lang w:val="es-ES"/>
        </w:rPr>
      </w:pPr>
      <w:r w:rsidRPr="00A62D1C">
        <w:rPr>
          <w:color w:val="131413"/>
          <w:szCs w:val="18"/>
          <w:lang w:val="es-ES"/>
        </w:rPr>
        <w:t>9.</w:t>
      </w:r>
      <w:r w:rsidRPr="00A62D1C">
        <w:rPr>
          <w:color w:val="131413"/>
          <w:szCs w:val="18"/>
          <w:lang w:val="es-ES"/>
        </w:rPr>
        <w:tab/>
      </w:r>
      <w:r w:rsidR="007F5358" w:rsidRPr="00A62D1C">
        <w:rPr>
          <w:color w:val="131413"/>
          <w:szCs w:val="18"/>
          <w:lang w:val="es-ES"/>
        </w:rPr>
        <w:t>Cualquier Miembro podrá notificar al Comité de Salvaguardias cualquiera de las medidas no gubernamentales a que se refiere el párrafo 3 del artículo 11.</w:t>
      </w:r>
    </w:p>
    <w:p w14:paraId="3C4338C5" w14:textId="7D3C5C4A" w:rsidR="007F5358" w:rsidRPr="00A62D1C" w:rsidRDefault="004D4995" w:rsidP="002B743F">
      <w:pPr>
        <w:spacing w:after="240"/>
        <w:rPr>
          <w:szCs w:val="18"/>
          <w:lang w:val="es-ES"/>
        </w:rPr>
      </w:pPr>
      <w:r w:rsidRPr="00A62D1C">
        <w:rPr>
          <w:color w:val="131413"/>
          <w:szCs w:val="18"/>
          <w:lang w:val="es-ES"/>
        </w:rPr>
        <w:t>10.</w:t>
      </w:r>
      <w:r w:rsidRPr="00A62D1C">
        <w:rPr>
          <w:color w:val="131413"/>
          <w:szCs w:val="18"/>
          <w:lang w:val="es-ES"/>
        </w:rPr>
        <w:tab/>
      </w:r>
      <w:r w:rsidR="007F5358" w:rsidRPr="00A62D1C">
        <w:rPr>
          <w:color w:val="131413"/>
          <w:szCs w:val="18"/>
          <w:lang w:val="es-ES"/>
        </w:rPr>
        <w:t>Todas las notificaciones al Consejo del Comercio de Mercancías a que se refiere el presente Acuerdo se harán normalmente por intermedio del Comité de Salvaguardias.</w:t>
      </w:r>
    </w:p>
    <w:p w14:paraId="79E5A438" w14:textId="6927682A" w:rsidR="007F5358" w:rsidRPr="00A62D1C" w:rsidRDefault="004D4995" w:rsidP="002B743F">
      <w:pPr>
        <w:spacing w:after="240"/>
        <w:rPr>
          <w:szCs w:val="18"/>
          <w:lang w:val="es-ES"/>
        </w:rPr>
      </w:pPr>
      <w:r w:rsidRPr="00A62D1C">
        <w:rPr>
          <w:color w:val="131413"/>
          <w:szCs w:val="18"/>
          <w:lang w:val="es-ES"/>
        </w:rPr>
        <w:t>11.</w:t>
      </w:r>
      <w:r w:rsidRPr="00A62D1C">
        <w:rPr>
          <w:color w:val="131413"/>
          <w:szCs w:val="18"/>
          <w:lang w:val="es-ES"/>
        </w:rPr>
        <w:tab/>
      </w:r>
      <w:r w:rsidR="007F5358" w:rsidRPr="00A62D1C">
        <w:rPr>
          <w:color w:val="131413"/>
          <w:szCs w:val="18"/>
          <w:lang w:val="es-ES"/>
        </w:rPr>
        <w:t>Las disposiciones del presente Acuerdo relativas a la notificación no obligarán a ningún Miembro a revelar informaciones confidenciales cuya divulgación pueda constituir un obstáculo para el cumplimiento de las leyes o ser de otra manera contraria al interés público, o pueda lesionar los intereses comerciales legítimos de empresas públicas o privadas.</w:t>
      </w:r>
    </w:p>
    <w:p w14:paraId="3BC771AC" w14:textId="77777777" w:rsidR="007F5358" w:rsidRPr="00A62D1C" w:rsidRDefault="007F5358" w:rsidP="004D4995">
      <w:pPr>
        <w:spacing w:before="480" w:after="240"/>
        <w:jc w:val="center"/>
        <w:rPr>
          <w:i/>
          <w:iCs/>
          <w:szCs w:val="18"/>
          <w:lang w:val="es-ES"/>
        </w:rPr>
      </w:pPr>
      <w:r w:rsidRPr="00A62D1C">
        <w:rPr>
          <w:i/>
          <w:iCs/>
          <w:color w:val="131413"/>
          <w:szCs w:val="18"/>
          <w:lang w:val="es-ES"/>
        </w:rPr>
        <w:t>Artículo 13</w:t>
      </w:r>
    </w:p>
    <w:p w14:paraId="6D609C89" w14:textId="77777777" w:rsidR="007F5358" w:rsidRPr="00A62D1C" w:rsidRDefault="007F5358" w:rsidP="004D4995">
      <w:pPr>
        <w:spacing w:after="240"/>
        <w:jc w:val="center"/>
        <w:rPr>
          <w:i/>
          <w:iCs/>
          <w:szCs w:val="18"/>
          <w:lang w:val="es-ES"/>
        </w:rPr>
      </w:pPr>
      <w:r w:rsidRPr="00A62D1C">
        <w:rPr>
          <w:i/>
          <w:iCs/>
          <w:color w:val="131413"/>
          <w:szCs w:val="18"/>
          <w:lang w:val="es-ES"/>
        </w:rPr>
        <w:t>Vigilancia</w:t>
      </w:r>
    </w:p>
    <w:p w14:paraId="2E6237CB" w14:textId="235036A4" w:rsidR="007F5358" w:rsidRPr="00A62D1C" w:rsidRDefault="004D4995" w:rsidP="002B743F">
      <w:pPr>
        <w:spacing w:after="240"/>
        <w:rPr>
          <w:szCs w:val="18"/>
          <w:lang w:val="es-ES"/>
        </w:rPr>
      </w:pPr>
      <w:r w:rsidRPr="00A62D1C">
        <w:rPr>
          <w:color w:val="131413"/>
          <w:szCs w:val="18"/>
          <w:lang w:val="es-ES"/>
        </w:rPr>
        <w:t>1.</w:t>
      </w:r>
      <w:r w:rsidRPr="00A62D1C">
        <w:rPr>
          <w:color w:val="131413"/>
          <w:szCs w:val="18"/>
          <w:lang w:val="es-ES"/>
        </w:rPr>
        <w:tab/>
      </w:r>
      <w:r w:rsidR="007F5358" w:rsidRPr="00A62D1C">
        <w:rPr>
          <w:color w:val="131413"/>
          <w:szCs w:val="18"/>
          <w:lang w:val="es-ES"/>
        </w:rPr>
        <w:t>En virtud del presente Acuerdo se establece un Comité de Salvaguardias, bajo la autoridad del Consejo del Comercio de Mercancías, del que podrán formar parte todos los Miembros que indiquen su deseo de participar en él</w:t>
      </w:r>
      <w:r w:rsidR="002B743F" w:rsidRPr="00A62D1C">
        <w:rPr>
          <w:color w:val="131413"/>
          <w:szCs w:val="18"/>
          <w:lang w:val="es-ES"/>
        </w:rPr>
        <w:t>. E</w:t>
      </w:r>
      <w:r w:rsidR="007F5358" w:rsidRPr="00A62D1C">
        <w:rPr>
          <w:color w:val="131413"/>
          <w:szCs w:val="18"/>
          <w:lang w:val="es-ES"/>
        </w:rPr>
        <w:t>l Comité tendrá las siguientes funciones:</w:t>
      </w:r>
    </w:p>
    <w:p w14:paraId="090342B0" w14:textId="5A656972" w:rsidR="007F5358" w:rsidRPr="00A62D1C" w:rsidRDefault="004D4995" w:rsidP="004D4995">
      <w:pPr>
        <w:spacing w:after="240"/>
        <w:ind w:left="1134" w:hanging="567"/>
        <w:rPr>
          <w:szCs w:val="18"/>
          <w:lang w:val="es-ES"/>
        </w:rPr>
      </w:pPr>
      <w:r w:rsidRPr="00A62D1C">
        <w:rPr>
          <w:color w:val="131413"/>
          <w:szCs w:val="18"/>
          <w:lang w:val="es-ES"/>
        </w:rPr>
        <w:t>a)</w:t>
      </w:r>
      <w:r w:rsidRPr="00A62D1C">
        <w:rPr>
          <w:color w:val="131413"/>
          <w:szCs w:val="18"/>
          <w:lang w:val="es-ES"/>
        </w:rPr>
        <w:tab/>
      </w:r>
      <w:r w:rsidR="007F5358" w:rsidRPr="00A62D1C">
        <w:rPr>
          <w:color w:val="131413"/>
          <w:szCs w:val="18"/>
          <w:lang w:val="es-ES"/>
        </w:rPr>
        <w:t>vigilar la aplicación general del presente Acuerdo, presentar anualmente al Consejo del Comercio de Mercancías un informe sobre esa aplicación y hacer recomendaciones para su mejoramiento;</w:t>
      </w:r>
    </w:p>
    <w:p w14:paraId="5D22088B" w14:textId="05ACA8EF" w:rsidR="007F5358" w:rsidRPr="00A62D1C" w:rsidRDefault="004D4995" w:rsidP="004D4995">
      <w:pPr>
        <w:spacing w:after="240"/>
        <w:ind w:left="1134" w:hanging="567"/>
        <w:rPr>
          <w:szCs w:val="18"/>
          <w:lang w:val="es-ES"/>
        </w:rPr>
      </w:pPr>
      <w:r w:rsidRPr="00A62D1C">
        <w:rPr>
          <w:color w:val="131413"/>
          <w:szCs w:val="18"/>
          <w:lang w:val="es-ES"/>
        </w:rPr>
        <w:t>b)</w:t>
      </w:r>
      <w:r w:rsidRPr="00A62D1C">
        <w:rPr>
          <w:color w:val="131413"/>
          <w:szCs w:val="18"/>
          <w:lang w:val="es-ES"/>
        </w:rPr>
        <w:tab/>
      </w:r>
      <w:r w:rsidR="007F5358" w:rsidRPr="00A62D1C">
        <w:rPr>
          <w:color w:val="131413"/>
          <w:szCs w:val="18"/>
          <w:lang w:val="es-ES"/>
        </w:rPr>
        <w:t>averiguar, previa petición de un Miembro afectado, si se han cumplido los requisitos de procedimiento del presente Acuerdo en relación con una medida de salvaguardia, y comunicar sus constataciones al Consejo del Comercio de Mercancías;</w:t>
      </w:r>
    </w:p>
    <w:p w14:paraId="7DAE9595" w14:textId="03014054" w:rsidR="007F5358" w:rsidRPr="00A62D1C" w:rsidRDefault="004D4995" w:rsidP="004D4995">
      <w:pPr>
        <w:spacing w:after="240"/>
        <w:ind w:left="1134" w:hanging="567"/>
        <w:rPr>
          <w:szCs w:val="18"/>
          <w:lang w:val="es-ES"/>
        </w:rPr>
      </w:pPr>
      <w:r w:rsidRPr="00A62D1C">
        <w:rPr>
          <w:color w:val="131413"/>
          <w:szCs w:val="18"/>
          <w:lang w:val="es-ES"/>
        </w:rPr>
        <w:t>c)</w:t>
      </w:r>
      <w:r w:rsidRPr="00A62D1C">
        <w:rPr>
          <w:color w:val="131413"/>
          <w:szCs w:val="18"/>
          <w:lang w:val="es-ES"/>
        </w:rPr>
        <w:tab/>
      </w:r>
      <w:r w:rsidR="007F5358" w:rsidRPr="00A62D1C">
        <w:rPr>
          <w:color w:val="131413"/>
          <w:szCs w:val="18"/>
          <w:lang w:val="es-ES"/>
        </w:rPr>
        <w:t>ayudar a los Miembros que lo soliciten en las consultas que celebren en virtud de las disposiciones del presente Acuerdo;</w:t>
      </w:r>
    </w:p>
    <w:p w14:paraId="1EDF6D60" w14:textId="033B4F2D" w:rsidR="007F5358" w:rsidRPr="00A62D1C" w:rsidRDefault="004D4995" w:rsidP="004D4995">
      <w:pPr>
        <w:spacing w:after="240"/>
        <w:ind w:left="1134" w:hanging="567"/>
        <w:rPr>
          <w:szCs w:val="18"/>
          <w:lang w:val="es-ES"/>
        </w:rPr>
      </w:pPr>
      <w:r w:rsidRPr="00A62D1C">
        <w:rPr>
          <w:color w:val="131413"/>
          <w:szCs w:val="18"/>
          <w:lang w:val="es-ES"/>
        </w:rPr>
        <w:t>d)</w:t>
      </w:r>
      <w:r w:rsidRPr="00A62D1C">
        <w:rPr>
          <w:color w:val="131413"/>
          <w:szCs w:val="18"/>
          <w:lang w:val="es-ES"/>
        </w:rPr>
        <w:tab/>
      </w:r>
      <w:r w:rsidR="007F5358" w:rsidRPr="00A62D1C">
        <w:rPr>
          <w:color w:val="131413"/>
          <w:szCs w:val="18"/>
          <w:lang w:val="es-ES"/>
        </w:rPr>
        <w:t>examinar las medidas comprendidas en el artículo 10 y en el párrafo 1 del artículo 11, vigilar la eliminación progresiva de dichas</w:t>
      </w:r>
      <w:r w:rsidR="00A93F91" w:rsidRPr="00A62D1C">
        <w:rPr>
          <w:color w:val="131413"/>
          <w:szCs w:val="18"/>
          <w:lang w:val="es-ES"/>
        </w:rPr>
        <w:t xml:space="preserve"> </w:t>
      </w:r>
      <w:r w:rsidR="007F5358" w:rsidRPr="00A62D1C">
        <w:rPr>
          <w:color w:val="131413"/>
          <w:szCs w:val="18"/>
          <w:lang w:val="es-ES"/>
        </w:rPr>
        <w:t>medidas y rendir informe según proceda al Consejo del Comercio de Mercancías;</w:t>
      </w:r>
    </w:p>
    <w:p w14:paraId="7C73C8C0" w14:textId="28EE831B" w:rsidR="007F5358" w:rsidRPr="00A62D1C" w:rsidRDefault="004D4995" w:rsidP="00D20CB5">
      <w:pPr>
        <w:keepLines/>
        <w:spacing w:after="240"/>
        <w:ind w:left="1134" w:hanging="567"/>
        <w:rPr>
          <w:szCs w:val="18"/>
          <w:lang w:val="es-ES"/>
        </w:rPr>
      </w:pPr>
      <w:r w:rsidRPr="00A62D1C">
        <w:rPr>
          <w:color w:val="131413"/>
          <w:szCs w:val="18"/>
          <w:lang w:val="es-ES"/>
        </w:rPr>
        <w:t>e)</w:t>
      </w:r>
      <w:r w:rsidRPr="00A62D1C">
        <w:rPr>
          <w:color w:val="131413"/>
          <w:szCs w:val="18"/>
          <w:lang w:val="es-ES"/>
        </w:rPr>
        <w:tab/>
      </w:r>
      <w:r w:rsidR="007F5358" w:rsidRPr="00A62D1C">
        <w:rPr>
          <w:color w:val="131413"/>
          <w:szCs w:val="18"/>
          <w:lang w:val="es-ES"/>
        </w:rPr>
        <w:t>examinar, a petición del Miembro que adopte una medida de salvaguardia, si las concesiones u otras obligaciones objeto de propuestas de suspensión son "sustancialmente equivalentes", y rendir informe según proceda al Consejo del Comercio de Mercancías;</w:t>
      </w:r>
    </w:p>
    <w:p w14:paraId="00E95588" w14:textId="2EE48035" w:rsidR="007F5358" w:rsidRPr="00A62D1C" w:rsidRDefault="004D4995" w:rsidP="004D4995">
      <w:pPr>
        <w:spacing w:after="240"/>
        <w:ind w:left="1134" w:hanging="567"/>
        <w:rPr>
          <w:szCs w:val="18"/>
          <w:lang w:val="es-ES"/>
        </w:rPr>
      </w:pPr>
      <w:r w:rsidRPr="00A62D1C">
        <w:rPr>
          <w:color w:val="131413"/>
          <w:szCs w:val="18"/>
          <w:lang w:val="es-ES"/>
        </w:rPr>
        <w:lastRenderedPageBreak/>
        <w:t>f)</w:t>
      </w:r>
      <w:r w:rsidRPr="00A62D1C">
        <w:rPr>
          <w:color w:val="131413"/>
          <w:szCs w:val="18"/>
          <w:lang w:val="es-ES"/>
        </w:rPr>
        <w:tab/>
      </w:r>
      <w:r w:rsidR="007F5358" w:rsidRPr="00A62D1C">
        <w:rPr>
          <w:color w:val="131413"/>
          <w:szCs w:val="18"/>
          <w:lang w:val="es-ES"/>
        </w:rPr>
        <w:t>recibir y examinar todas las notificaciones previstas en el presente Acuerdo y rendir informe según proceda al Consejo del Comercio de Mercancías</w:t>
      </w:r>
      <w:r w:rsidR="002B743F" w:rsidRPr="00A62D1C">
        <w:rPr>
          <w:color w:val="131413"/>
          <w:szCs w:val="18"/>
          <w:lang w:val="es-ES"/>
        </w:rPr>
        <w:t>; y</w:t>
      </w:r>
    </w:p>
    <w:p w14:paraId="1282E58D" w14:textId="50A488AC" w:rsidR="007F5358" w:rsidRPr="00A62D1C" w:rsidRDefault="004D4995" w:rsidP="004D4995">
      <w:pPr>
        <w:spacing w:after="240"/>
        <w:ind w:left="1134" w:hanging="567"/>
        <w:rPr>
          <w:szCs w:val="18"/>
          <w:lang w:val="es-ES"/>
        </w:rPr>
      </w:pPr>
      <w:r w:rsidRPr="00A62D1C">
        <w:rPr>
          <w:color w:val="131413"/>
          <w:szCs w:val="18"/>
          <w:lang w:val="es-ES"/>
        </w:rPr>
        <w:t>g)</w:t>
      </w:r>
      <w:r w:rsidRPr="00A62D1C">
        <w:rPr>
          <w:color w:val="131413"/>
          <w:szCs w:val="18"/>
          <w:lang w:val="es-ES"/>
        </w:rPr>
        <w:tab/>
      </w:r>
      <w:r w:rsidR="007F5358" w:rsidRPr="00A62D1C">
        <w:rPr>
          <w:color w:val="131413"/>
          <w:szCs w:val="18"/>
          <w:lang w:val="es-ES"/>
        </w:rPr>
        <w:t>cumplir las demás funciones relacionadas con el presente Acuerdo que le encomiende el Consejo del Comercio de Mercancías.</w:t>
      </w:r>
    </w:p>
    <w:p w14:paraId="42AD0CF8" w14:textId="0A29C5C4" w:rsidR="007F5358" w:rsidRPr="00A62D1C" w:rsidRDefault="004D4995" w:rsidP="002B743F">
      <w:pPr>
        <w:spacing w:after="240"/>
        <w:rPr>
          <w:szCs w:val="18"/>
          <w:lang w:val="es-ES"/>
        </w:rPr>
      </w:pPr>
      <w:r w:rsidRPr="00A62D1C">
        <w:rPr>
          <w:color w:val="131413"/>
          <w:szCs w:val="18"/>
          <w:lang w:val="es-ES"/>
        </w:rPr>
        <w:t>2.</w:t>
      </w:r>
      <w:r w:rsidRPr="00A62D1C">
        <w:rPr>
          <w:color w:val="131413"/>
          <w:szCs w:val="18"/>
          <w:lang w:val="es-ES"/>
        </w:rPr>
        <w:tab/>
      </w:r>
      <w:r w:rsidR="007F5358" w:rsidRPr="00A62D1C">
        <w:rPr>
          <w:color w:val="131413"/>
          <w:szCs w:val="18"/>
          <w:lang w:val="es-ES"/>
        </w:rPr>
        <w:t>Para ayudar al Comité en el desempeño de su función de vigilancia, la Secretaría elaborará cada año, sobre la base de las notificaciones y demás información fidedigna a su alcance, un informe fáctico sobre el funcionamiento del presente Acuerdo.</w:t>
      </w:r>
    </w:p>
    <w:p w14:paraId="76D788FE" w14:textId="77777777" w:rsidR="007F5358" w:rsidRPr="00A62D1C" w:rsidRDefault="007F5358" w:rsidP="004D4995">
      <w:pPr>
        <w:spacing w:before="480" w:after="240"/>
        <w:jc w:val="center"/>
        <w:rPr>
          <w:i/>
          <w:iCs/>
          <w:szCs w:val="18"/>
          <w:lang w:val="es-ES"/>
        </w:rPr>
      </w:pPr>
      <w:r w:rsidRPr="00A62D1C">
        <w:rPr>
          <w:i/>
          <w:iCs/>
          <w:color w:val="131413"/>
          <w:szCs w:val="18"/>
          <w:lang w:val="es-ES"/>
        </w:rPr>
        <w:t>Artículo 14</w:t>
      </w:r>
    </w:p>
    <w:p w14:paraId="45AF81EB" w14:textId="77777777" w:rsidR="007F5358" w:rsidRPr="00A62D1C" w:rsidRDefault="007F5358" w:rsidP="004D4995">
      <w:pPr>
        <w:spacing w:after="240"/>
        <w:jc w:val="center"/>
        <w:rPr>
          <w:i/>
          <w:iCs/>
          <w:szCs w:val="18"/>
          <w:lang w:val="es-ES"/>
        </w:rPr>
      </w:pPr>
      <w:r w:rsidRPr="00A62D1C">
        <w:rPr>
          <w:i/>
          <w:iCs/>
          <w:color w:val="131413"/>
          <w:szCs w:val="18"/>
          <w:lang w:val="es-ES"/>
        </w:rPr>
        <w:t>Solución de diferencias</w:t>
      </w:r>
    </w:p>
    <w:p w14:paraId="7917E1C5" w14:textId="466CD41D" w:rsidR="00503D18" w:rsidRPr="00A62D1C" w:rsidRDefault="004D4995" w:rsidP="002B743F">
      <w:pPr>
        <w:spacing w:after="240"/>
        <w:rPr>
          <w:color w:val="131413"/>
          <w:szCs w:val="18"/>
          <w:lang w:val="es-ES"/>
        </w:rPr>
      </w:pPr>
      <w:r w:rsidRPr="00A62D1C">
        <w:rPr>
          <w:color w:val="131413"/>
          <w:szCs w:val="18"/>
          <w:lang w:val="es-ES"/>
        </w:rPr>
        <w:tab/>
      </w:r>
      <w:r w:rsidR="007F5358" w:rsidRPr="00A62D1C">
        <w:rPr>
          <w:color w:val="131413"/>
          <w:szCs w:val="18"/>
          <w:lang w:val="es-ES"/>
        </w:rPr>
        <w:t>Serán aplicables a las consultas y la solución de las diferencias que surjan en el ámbito del presente Acuerdo las disposiciones de los artículos XXII y XXIII del GATT de 1994, desarrolladas y aplicadas en virtud del Entendimiento sobre Solución de Diferencias.</w:t>
      </w:r>
    </w:p>
    <w:p w14:paraId="5812389F" w14:textId="4E130EAB" w:rsidR="00047AAE" w:rsidRPr="00A62D1C" w:rsidRDefault="00047AAE">
      <w:pPr>
        <w:spacing w:after="160" w:line="259" w:lineRule="auto"/>
        <w:jc w:val="left"/>
        <w:rPr>
          <w:lang w:val="es-ES"/>
        </w:rPr>
      </w:pPr>
      <w:r w:rsidRPr="00A62D1C">
        <w:rPr>
          <w:lang w:val="es-ES"/>
        </w:rPr>
        <w:br w:type="page"/>
      </w:r>
    </w:p>
    <w:p w14:paraId="33E6C320" w14:textId="77777777" w:rsidR="00047AAE" w:rsidRPr="00A62D1C" w:rsidRDefault="00047AAE" w:rsidP="00047AAE">
      <w:pPr>
        <w:spacing w:after="240"/>
        <w:jc w:val="center"/>
        <w:rPr>
          <w:szCs w:val="18"/>
          <w:lang w:val="es-ES"/>
        </w:rPr>
      </w:pPr>
      <w:r w:rsidRPr="00A62D1C">
        <w:rPr>
          <w:szCs w:val="18"/>
          <w:lang w:val="es-ES"/>
        </w:rPr>
        <w:lastRenderedPageBreak/>
        <w:t>ANEXO</w:t>
      </w:r>
    </w:p>
    <w:p w14:paraId="36D86503" w14:textId="63639930" w:rsidR="00047AAE" w:rsidRPr="00A62D1C" w:rsidRDefault="00047AAE" w:rsidP="00047AAE">
      <w:pPr>
        <w:spacing w:after="240"/>
        <w:jc w:val="center"/>
        <w:rPr>
          <w:szCs w:val="18"/>
          <w:lang w:val="es-ES"/>
        </w:rPr>
      </w:pPr>
      <w:r w:rsidRPr="00A62D1C">
        <w:rPr>
          <w:color w:val="131413"/>
          <w:szCs w:val="18"/>
          <w:lang w:val="es-ES"/>
        </w:rPr>
        <w:t xml:space="preserve">EXCEPCIÓN A QUE SE HACE REFERENCIA EN EL </w:t>
      </w:r>
      <w:r w:rsidRPr="00A62D1C">
        <w:rPr>
          <w:color w:val="131413"/>
          <w:szCs w:val="18"/>
          <w:lang w:val="es-ES"/>
        </w:rPr>
        <w:br/>
        <w:t>PÁRRAFO 2 DEL ARTÍCULO 11</w:t>
      </w:r>
    </w:p>
    <w:tbl>
      <w:tblPr>
        <w:tblStyle w:val="WTOTable2"/>
        <w:tblW w:w="5000" w:type="pct"/>
        <w:tblBorders>
          <w:top w:val="double" w:sz="6" w:space="0" w:color="auto"/>
          <w:bottom w:val="double" w:sz="6" w:space="0" w:color="auto"/>
          <w:insideH w:val="single" w:sz="6" w:space="0" w:color="auto"/>
          <w:insideV w:val="single" w:sz="6" w:space="0" w:color="auto"/>
        </w:tblBorders>
        <w:tblLook w:val="04A0" w:firstRow="1" w:lastRow="0" w:firstColumn="1" w:lastColumn="0" w:noHBand="0" w:noVBand="1"/>
      </w:tblPr>
      <w:tblGrid>
        <w:gridCol w:w="2539"/>
        <w:gridCol w:w="3919"/>
        <w:gridCol w:w="2522"/>
      </w:tblGrid>
      <w:tr w:rsidR="00047AAE" w:rsidRPr="00A62D1C" w14:paraId="6DA6F204" w14:textId="77777777" w:rsidTr="002A5FBA">
        <w:trPr>
          <w:cnfStyle w:val="100000000000" w:firstRow="1" w:lastRow="0" w:firstColumn="0" w:lastColumn="0" w:oddVBand="0" w:evenVBand="0" w:oddHBand="0" w:evenHBand="0" w:firstRowFirstColumn="0" w:firstRowLastColumn="0" w:lastRowFirstColumn="0" w:lastRowLastColumn="0"/>
          <w:cantSplit/>
        </w:trPr>
        <w:tc>
          <w:tcPr>
            <w:tcW w:w="2539" w:type="dxa"/>
            <w:tcBorders>
              <w:top w:val="none" w:sz="0" w:space="0" w:color="auto"/>
              <w:left w:val="none" w:sz="0" w:space="0" w:color="auto"/>
              <w:bottom w:val="none" w:sz="0" w:space="0" w:color="auto"/>
              <w:right w:val="none" w:sz="0" w:space="0" w:color="auto"/>
              <w:tl2br w:val="none" w:sz="0" w:space="0" w:color="auto"/>
              <w:tr2bl w:val="none" w:sz="0" w:space="0" w:color="auto"/>
            </w:tcBorders>
            <w:tcMar>
              <w:left w:w="57" w:type="dxa"/>
              <w:right w:w="57" w:type="dxa"/>
            </w:tcMar>
          </w:tcPr>
          <w:p w14:paraId="3D284174" w14:textId="18C0D1F7" w:rsidR="00047AAE" w:rsidRPr="00A62D1C" w:rsidRDefault="00047AAE" w:rsidP="00047AAE">
            <w:pPr>
              <w:jc w:val="center"/>
              <w:rPr>
                <w:lang w:val="es-ES"/>
              </w:rPr>
            </w:pPr>
            <w:r w:rsidRPr="00A62D1C">
              <w:rPr>
                <w:color w:val="131413"/>
                <w:lang w:val="es-ES"/>
              </w:rPr>
              <w:t>Miembros interesados</w:t>
            </w:r>
          </w:p>
        </w:tc>
        <w:tc>
          <w:tcPr>
            <w:tcW w:w="3919" w:type="dxa"/>
            <w:tcBorders>
              <w:top w:val="none" w:sz="0" w:space="0" w:color="auto"/>
              <w:left w:val="none" w:sz="0" w:space="0" w:color="auto"/>
              <w:bottom w:val="none" w:sz="0" w:space="0" w:color="auto"/>
              <w:right w:val="none" w:sz="0" w:space="0" w:color="auto"/>
              <w:tl2br w:val="none" w:sz="0" w:space="0" w:color="auto"/>
              <w:tr2bl w:val="none" w:sz="0" w:space="0" w:color="auto"/>
            </w:tcBorders>
            <w:tcMar>
              <w:left w:w="57" w:type="dxa"/>
              <w:right w:w="57" w:type="dxa"/>
            </w:tcMar>
          </w:tcPr>
          <w:p w14:paraId="4C63C92B" w14:textId="1CA56028" w:rsidR="00047AAE" w:rsidRPr="00A62D1C" w:rsidRDefault="00047AAE" w:rsidP="00047AAE">
            <w:pPr>
              <w:jc w:val="center"/>
              <w:rPr>
                <w:lang w:val="es-ES"/>
              </w:rPr>
            </w:pPr>
            <w:r w:rsidRPr="00A62D1C">
              <w:rPr>
                <w:color w:val="131413"/>
                <w:lang w:val="es-ES"/>
              </w:rPr>
              <w:t>Producto</w:t>
            </w:r>
          </w:p>
        </w:tc>
        <w:tc>
          <w:tcPr>
            <w:tcW w:w="2522" w:type="dxa"/>
            <w:tcBorders>
              <w:top w:val="none" w:sz="0" w:space="0" w:color="auto"/>
              <w:left w:val="none" w:sz="0" w:space="0" w:color="auto"/>
              <w:bottom w:val="none" w:sz="0" w:space="0" w:color="auto"/>
              <w:right w:val="none" w:sz="0" w:space="0" w:color="auto"/>
              <w:tl2br w:val="none" w:sz="0" w:space="0" w:color="auto"/>
              <w:tr2bl w:val="none" w:sz="0" w:space="0" w:color="auto"/>
            </w:tcBorders>
            <w:tcMar>
              <w:left w:w="57" w:type="dxa"/>
              <w:right w:w="57" w:type="dxa"/>
            </w:tcMar>
          </w:tcPr>
          <w:p w14:paraId="2B296225" w14:textId="1BBBA5C4" w:rsidR="00047AAE" w:rsidRPr="00A62D1C" w:rsidRDefault="00047AAE" w:rsidP="00047AAE">
            <w:pPr>
              <w:jc w:val="center"/>
              <w:rPr>
                <w:lang w:val="es-ES"/>
              </w:rPr>
            </w:pPr>
            <w:r w:rsidRPr="00A62D1C">
              <w:rPr>
                <w:color w:val="131413"/>
                <w:lang w:val="es-ES"/>
              </w:rPr>
              <w:t>Expiración</w:t>
            </w:r>
          </w:p>
        </w:tc>
      </w:tr>
      <w:tr w:rsidR="00047AAE" w:rsidRPr="00A62D1C" w14:paraId="7C72320E" w14:textId="77777777" w:rsidTr="002A5FBA">
        <w:trPr>
          <w:cantSplit/>
        </w:trPr>
        <w:tc>
          <w:tcPr>
            <w:tcW w:w="2539" w:type="dxa"/>
            <w:tcMar>
              <w:left w:w="57" w:type="dxa"/>
              <w:right w:w="57" w:type="dxa"/>
            </w:tcMar>
          </w:tcPr>
          <w:p w14:paraId="389F75B8" w14:textId="6F521776" w:rsidR="00047AAE" w:rsidRPr="00A62D1C" w:rsidRDefault="00047AAE" w:rsidP="00177847">
            <w:pPr>
              <w:jc w:val="left"/>
              <w:rPr>
                <w:lang w:val="es-ES"/>
              </w:rPr>
            </w:pPr>
            <w:r w:rsidRPr="00A62D1C">
              <w:rPr>
                <w:color w:val="131413"/>
                <w:lang w:val="es-ES"/>
              </w:rPr>
              <w:t>CE/Japón</w:t>
            </w:r>
          </w:p>
        </w:tc>
        <w:tc>
          <w:tcPr>
            <w:tcW w:w="3919" w:type="dxa"/>
            <w:tcMar>
              <w:left w:w="57" w:type="dxa"/>
              <w:right w:w="57" w:type="dxa"/>
            </w:tcMar>
          </w:tcPr>
          <w:p w14:paraId="5873EDD5" w14:textId="40D5BAFA" w:rsidR="00047AAE" w:rsidRPr="00A62D1C" w:rsidRDefault="00047AAE" w:rsidP="00177847">
            <w:pPr>
              <w:jc w:val="left"/>
              <w:rPr>
                <w:lang w:val="es-ES"/>
              </w:rPr>
            </w:pPr>
            <w:r w:rsidRPr="00A62D1C">
              <w:rPr>
                <w:color w:val="131413"/>
                <w:spacing w:val="-3"/>
                <w:lang w:val="es-ES"/>
              </w:rPr>
              <w:t>Vehículos</w:t>
            </w:r>
            <w:r w:rsidRPr="00A62D1C">
              <w:rPr>
                <w:color w:val="131413"/>
                <w:spacing w:val="1"/>
                <w:lang w:val="es-ES"/>
              </w:rPr>
              <w:t xml:space="preserve"> </w:t>
            </w:r>
            <w:r w:rsidRPr="00A62D1C">
              <w:rPr>
                <w:color w:val="131413"/>
                <w:lang w:val="es-ES"/>
              </w:rPr>
              <w:t>automóviles para el transporte de personas, vehículos todo terreno, vehículos comerciales ligeros, camiones ligeros (de hasta 5 toneladas), y estos mismos vehículos totalmente por montar (conjuntos de piezas sin montar).</w:t>
            </w:r>
          </w:p>
        </w:tc>
        <w:tc>
          <w:tcPr>
            <w:tcW w:w="2522" w:type="dxa"/>
            <w:tcMar>
              <w:left w:w="57" w:type="dxa"/>
              <w:right w:w="57" w:type="dxa"/>
            </w:tcMar>
          </w:tcPr>
          <w:p w14:paraId="7277E3FC" w14:textId="55642D67" w:rsidR="00047AAE" w:rsidRPr="00A62D1C" w:rsidRDefault="00047AAE" w:rsidP="00177847">
            <w:pPr>
              <w:jc w:val="left"/>
              <w:rPr>
                <w:lang w:val="es-ES"/>
              </w:rPr>
            </w:pPr>
            <w:r w:rsidRPr="00A62D1C">
              <w:rPr>
                <w:color w:val="131413"/>
                <w:lang w:val="es-ES"/>
              </w:rPr>
              <w:t>31 de diciembre de 1999</w:t>
            </w:r>
          </w:p>
        </w:tc>
      </w:tr>
    </w:tbl>
    <w:p w14:paraId="4C2686F8" w14:textId="77777777" w:rsidR="00047AAE" w:rsidRPr="00A62D1C" w:rsidRDefault="00047AAE" w:rsidP="00047AAE">
      <w:pPr>
        <w:rPr>
          <w:szCs w:val="18"/>
          <w:lang w:val="es-ES"/>
        </w:rPr>
      </w:pPr>
    </w:p>
    <w:sectPr w:rsidR="00047AAE" w:rsidRPr="00A62D1C" w:rsidSect="00DB48B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89F888" w14:textId="77777777" w:rsidR="002B743F" w:rsidRPr="002B743F" w:rsidRDefault="002B743F" w:rsidP="002B743F">
      <w:bookmarkStart w:id="8" w:name="_Hlk62648758"/>
      <w:bookmarkStart w:id="9" w:name="_Hlk62648759"/>
      <w:bookmarkStart w:id="10" w:name="_Hlk65067108"/>
      <w:bookmarkStart w:id="11" w:name="_Hlk65067109"/>
      <w:r w:rsidRPr="002B743F">
        <w:separator/>
      </w:r>
      <w:bookmarkEnd w:id="8"/>
      <w:bookmarkEnd w:id="9"/>
      <w:bookmarkEnd w:id="10"/>
      <w:bookmarkEnd w:id="11"/>
    </w:p>
  </w:endnote>
  <w:endnote w:type="continuationSeparator" w:id="0">
    <w:p w14:paraId="359C03AF" w14:textId="77777777" w:rsidR="002B743F" w:rsidRPr="002B743F" w:rsidRDefault="002B743F" w:rsidP="002B743F">
      <w:bookmarkStart w:id="12" w:name="_Hlk62648760"/>
      <w:bookmarkStart w:id="13" w:name="_Hlk62648761"/>
      <w:bookmarkStart w:id="14" w:name="_Hlk65067110"/>
      <w:bookmarkStart w:id="15" w:name="_Hlk65067111"/>
      <w:r w:rsidRPr="002B743F">
        <w:continuationSeparator/>
      </w:r>
      <w:bookmarkEnd w:id="12"/>
      <w:bookmarkEnd w:id="13"/>
      <w:bookmarkEnd w:id="14"/>
      <w:bookmarkEnd w:id="15"/>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71CDED" w14:textId="48283AA6" w:rsidR="002B743F" w:rsidRPr="002B743F" w:rsidRDefault="002B743F" w:rsidP="002B743F">
    <w:pPr>
      <w:pStyle w:val="Footer"/>
    </w:pPr>
    <w:bookmarkStart w:id="24" w:name="_Hlk62648746"/>
    <w:bookmarkStart w:id="25" w:name="_Hlk62648747"/>
    <w:bookmarkStart w:id="26" w:name="_Hlk65067096"/>
    <w:bookmarkStart w:id="27" w:name="_Hlk65067097"/>
    <w:r w:rsidRPr="002B743F">
      <w:t xml:space="preserve"> </w:t>
    </w:r>
    <w:bookmarkEnd w:id="24"/>
    <w:bookmarkEnd w:id="25"/>
    <w:bookmarkEnd w:id="26"/>
    <w:bookmarkEnd w:id="2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3F495" w14:textId="73E3527A" w:rsidR="002B743F" w:rsidRPr="002B743F" w:rsidRDefault="002B743F" w:rsidP="002B743F">
    <w:pPr>
      <w:pStyle w:val="Footer"/>
    </w:pPr>
    <w:bookmarkStart w:id="28" w:name="_Hlk62648748"/>
    <w:bookmarkStart w:id="29" w:name="_Hlk62648749"/>
    <w:bookmarkStart w:id="30" w:name="_Hlk65067098"/>
    <w:bookmarkStart w:id="31" w:name="_Hlk65067099"/>
    <w:r w:rsidRPr="002B743F">
      <w:t xml:space="preserve"> </w:t>
    </w:r>
    <w:bookmarkEnd w:id="28"/>
    <w:bookmarkEnd w:id="29"/>
    <w:bookmarkEnd w:id="30"/>
    <w:bookmarkEnd w:id="3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91E6C" w14:textId="15CC778A" w:rsidR="002B743F" w:rsidRPr="002B743F" w:rsidRDefault="002B743F" w:rsidP="002B743F">
    <w:pPr>
      <w:pStyle w:val="Footer"/>
    </w:pPr>
    <w:bookmarkStart w:id="36" w:name="_Hlk62648752"/>
    <w:bookmarkStart w:id="37" w:name="_Hlk62648753"/>
    <w:bookmarkStart w:id="38" w:name="_Hlk65067102"/>
    <w:bookmarkStart w:id="39" w:name="_Hlk65067103"/>
    <w:r w:rsidRPr="002B743F">
      <w:t xml:space="preserve"> </w:t>
    </w:r>
    <w:bookmarkEnd w:id="36"/>
    <w:bookmarkEnd w:id="37"/>
    <w:bookmarkEnd w:id="38"/>
    <w:bookmarkEnd w:id="3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CB78D4" w14:textId="77777777" w:rsidR="002B743F" w:rsidRPr="002B743F" w:rsidRDefault="002B743F" w:rsidP="002B743F">
      <w:bookmarkStart w:id="0" w:name="_Hlk62648754"/>
      <w:bookmarkStart w:id="1" w:name="_Hlk62648755"/>
      <w:bookmarkStart w:id="2" w:name="_Hlk65067104"/>
      <w:bookmarkStart w:id="3" w:name="_Hlk65067105"/>
      <w:r w:rsidRPr="002B743F">
        <w:separator/>
      </w:r>
      <w:bookmarkEnd w:id="0"/>
      <w:bookmarkEnd w:id="1"/>
      <w:bookmarkEnd w:id="2"/>
      <w:bookmarkEnd w:id="3"/>
    </w:p>
  </w:footnote>
  <w:footnote w:type="continuationSeparator" w:id="0">
    <w:p w14:paraId="453614EB" w14:textId="77777777" w:rsidR="002B743F" w:rsidRPr="002B743F" w:rsidRDefault="002B743F" w:rsidP="002B743F">
      <w:bookmarkStart w:id="4" w:name="_Hlk62648756"/>
      <w:bookmarkStart w:id="5" w:name="_Hlk62648757"/>
      <w:bookmarkStart w:id="6" w:name="_Hlk65067106"/>
      <w:bookmarkStart w:id="7" w:name="_Hlk65067107"/>
      <w:r w:rsidRPr="002B743F">
        <w:continuationSeparator/>
      </w:r>
      <w:bookmarkEnd w:id="4"/>
      <w:bookmarkEnd w:id="5"/>
      <w:bookmarkEnd w:id="6"/>
      <w:bookmarkEnd w:id="7"/>
    </w:p>
  </w:footnote>
  <w:footnote w:id="1">
    <w:p w14:paraId="7E7F55DC" w14:textId="0475958F" w:rsidR="006D573D" w:rsidRPr="00D101D9" w:rsidRDefault="004C4A26" w:rsidP="00D101D9">
      <w:pPr>
        <w:pStyle w:val="FootnoteText"/>
        <w:rPr>
          <w:szCs w:val="16"/>
          <w:lang w:val="es-ES"/>
        </w:rPr>
      </w:pPr>
      <w:r w:rsidRPr="00D101D9">
        <w:rPr>
          <w:rStyle w:val="FootnoteReference"/>
          <w:szCs w:val="16"/>
        </w:rPr>
        <w:footnoteRef/>
      </w:r>
      <w:r w:rsidR="00DB48BC" w:rsidRPr="00CF33A3">
        <w:rPr>
          <w:szCs w:val="16"/>
          <w:lang w:val="fr-FR"/>
        </w:rPr>
        <w:t xml:space="preserve"> </w:t>
      </w:r>
      <w:r w:rsidR="00727311" w:rsidRPr="00D101D9">
        <w:rPr>
          <w:color w:val="131413"/>
          <w:szCs w:val="16"/>
          <w:lang w:val="es-ES"/>
        </w:rPr>
        <w:t>Una unión aduanera podrá aplicar una medida de salvaguardia como entidad única o en nombre de un Estado miembro. Cuando una unión aduanera aplique una medida de salvaguardia como entidad única, todos los requisitos para la determinación de la existencia o amenaza de daño grave de conformidad con el presente Acuerdo se basarán en las condiciones existentes en la unión aduanera considerada en su conjunto. Cuando se aplique una medida de salvaguardia en nombre de un Estado miembro, todos los requisitos para la determinación de la existencia o amenaza de daño grave se basarán en las condiciones existentes en ese Estado miembro y la medida se limitará a éste. Ninguna disposición del presente Acuerdo prejuzga la interpretación de la relación que existe entre el artículo XIX y el párrafo 8 del artículo XXIV del GATT de 1994.</w:t>
      </w:r>
    </w:p>
  </w:footnote>
  <w:footnote w:id="2">
    <w:p w14:paraId="106BE759" w14:textId="5C2FEEF5" w:rsidR="009220D3" w:rsidRDefault="009220D3" w:rsidP="00D101D9">
      <w:pPr>
        <w:pStyle w:val="FootnoteText"/>
        <w:rPr>
          <w:color w:val="131413"/>
          <w:szCs w:val="16"/>
          <w:lang w:val="es-ES"/>
        </w:rPr>
      </w:pPr>
      <w:r w:rsidRPr="00D101D9">
        <w:rPr>
          <w:rStyle w:val="FootnoteReference"/>
          <w:szCs w:val="16"/>
        </w:rPr>
        <w:footnoteRef/>
      </w:r>
      <w:r w:rsidR="00DB48BC" w:rsidRPr="00CF33A3">
        <w:rPr>
          <w:szCs w:val="16"/>
          <w:lang w:val="fr-FR"/>
        </w:rPr>
        <w:t xml:space="preserve"> </w:t>
      </w:r>
      <w:r w:rsidRPr="00D101D9">
        <w:rPr>
          <w:color w:val="131413"/>
          <w:szCs w:val="16"/>
          <w:lang w:val="es-ES"/>
        </w:rPr>
        <w:t>Todo Miembro notificará inmediatamente al Comité de Salvaguardias las medidas que adopte al amparo del párrafo 1 del artículo 9.</w:t>
      </w:r>
    </w:p>
    <w:p w14:paraId="35EF18C0" w14:textId="77777777" w:rsidR="00F6362F" w:rsidRPr="00D101D9" w:rsidRDefault="00F6362F" w:rsidP="00D101D9">
      <w:pPr>
        <w:pStyle w:val="FootnoteText"/>
        <w:rPr>
          <w:szCs w:val="16"/>
          <w:lang w:val="es-ES"/>
        </w:rPr>
      </w:pPr>
    </w:p>
  </w:footnote>
  <w:footnote w:id="3">
    <w:p w14:paraId="4ED7A32E" w14:textId="12DD8FFE" w:rsidR="009220D3" w:rsidRDefault="009220D3" w:rsidP="00D101D9">
      <w:pPr>
        <w:pStyle w:val="FootnoteText"/>
        <w:rPr>
          <w:color w:val="131413"/>
          <w:szCs w:val="16"/>
          <w:lang w:val="es-ES"/>
        </w:rPr>
      </w:pPr>
      <w:r w:rsidRPr="00D101D9">
        <w:rPr>
          <w:rStyle w:val="FootnoteReference"/>
          <w:szCs w:val="16"/>
        </w:rPr>
        <w:footnoteRef/>
      </w:r>
      <w:r w:rsidR="00DB48BC" w:rsidRPr="00CF33A3">
        <w:rPr>
          <w:szCs w:val="16"/>
          <w:lang w:val="es-ES"/>
        </w:rPr>
        <w:t xml:space="preserve"> </w:t>
      </w:r>
      <w:r w:rsidRPr="00D101D9">
        <w:rPr>
          <w:color w:val="131413"/>
          <w:szCs w:val="16"/>
          <w:lang w:val="es-ES"/>
        </w:rPr>
        <w:t>Un contingente de importación aplicado como medida de salvaguardia de conformidad con las disposiciones pertinentes del GATT de 1994 y del presente Acuerdo podrá, por mutuo acuerdo, ser administrado por el Miembro exportador.</w:t>
      </w:r>
    </w:p>
    <w:p w14:paraId="58E9C343" w14:textId="77777777" w:rsidR="00F62A9A" w:rsidRPr="00D101D9" w:rsidRDefault="00F62A9A" w:rsidP="00D101D9">
      <w:pPr>
        <w:pStyle w:val="FootnoteText"/>
        <w:rPr>
          <w:szCs w:val="16"/>
          <w:lang w:val="es-ES"/>
        </w:rPr>
      </w:pPr>
    </w:p>
  </w:footnote>
  <w:footnote w:id="4">
    <w:p w14:paraId="443C4F1E" w14:textId="0A64D026" w:rsidR="00B37AD7" w:rsidRPr="00D101D9" w:rsidRDefault="009220D3" w:rsidP="00D101D9">
      <w:pPr>
        <w:pStyle w:val="FootnoteText"/>
        <w:rPr>
          <w:szCs w:val="16"/>
          <w:lang w:val="es-ES"/>
        </w:rPr>
      </w:pPr>
      <w:r w:rsidRPr="00D101D9">
        <w:rPr>
          <w:rStyle w:val="FootnoteReference"/>
          <w:szCs w:val="16"/>
        </w:rPr>
        <w:footnoteRef/>
      </w:r>
      <w:r w:rsidR="00DB48BC" w:rsidRPr="00CF33A3">
        <w:rPr>
          <w:szCs w:val="16"/>
          <w:lang w:val="fr-FR"/>
        </w:rPr>
        <w:t xml:space="preserve"> </w:t>
      </w:r>
      <w:r w:rsidRPr="00D101D9">
        <w:rPr>
          <w:color w:val="131413"/>
          <w:szCs w:val="16"/>
          <w:lang w:val="es-ES"/>
        </w:rPr>
        <w:t>Son ejemplos de medidas similares la moderación de las exportaciones, los sistemas de vigilancia de los precios de exportación o de los precios de importación, la vigilancia de las exportaciones o de las importaciones, los cárteles de importación impuestos y los regímenes discrecionales de licencias de exportación o importación, siempre que brinden protección.</w:t>
      </w:r>
    </w:p>
  </w:footnote>
  <w:footnote w:id="5">
    <w:p w14:paraId="42B7C6C7" w14:textId="19F1D969" w:rsidR="00A93F91" w:rsidRPr="00D101D9" w:rsidRDefault="00A93F91" w:rsidP="00D101D9">
      <w:pPr>
        <w:pStyle w:val="FootnoteText"/>
        <w:rPr>
          <w:szCs w:val="16"/>
          <w:lang w:val="es-ES"/>
        </w:rPr>
      </w:pPr>
      <w:r w:rsidRPr="00D101D9">
        <w:rPr>
          <w:rStyle w:val="FootnoteReference"/>
          <w:szCs w:val="16"/>
        </w:rPr>
        <w:footnoteRef/>
      </w:r>
      <w:r w:rsidR="00DB48BC" w:rsidRPr="00CF33A3">
        <w:rPr>
          <w:szCs w:val="16"/>
          <w:lang w:val="fr-FR"/>
        </w:rPr>
        <w:t xml:space="preserve"> </w:t>
      </w:r>
      <w:r w:rsidRPr="00D101D9">
        <w:rPr>
          <w:color w:val="131413"/>
          <w:szCs w:val="16"/>
          <w:lang w:val="es-ES"/>
        </w:rPr>
        <w:t>La única de esas excepciones a que tienen derecho las Comunidades Europeas figura indicada en el Anexo del presente Acuerdo.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8E41" w14:textId="77777777" w:rsidR="002B743F" w:rsidRPr="002B743F" w:rsidRDefault="002B743F" w:rsidP="002B743F">
    <w:pPr>
      <w:pStyle w:val="Header"/>
      <w:spacing w:after="240"/>
      <w:jc w:val="center"/>
    </w:pPr>
    <w:bookmarkStart w:id="16" w:name="_Hlk62648742"/>
    <w:bookmarkStart w:id="17" w:name="_Hlk62648743"/>
    <w:bookmarkStart w:id="18" w:name="_Hlk65067092"/>
    <w:bookmarkStart w:id="19" w:name="_Hlk65067093"/>
  </w:p>
  <w:p w14:paraId="3C0F4641" w14:textId="77777777" w:rsidR="002B743F" w:rsidRPr="002B743F" w:rsidRDefault="002B743F" w:rsidP="002B743F">
    <w:pPr>
      <w:pStyle w:val="Header"/>
      <w:pBdr>
        <w:bottom w:val="single" w:sz="4" w:space="1" w:color="auto"/>
      </w:pBdr>
      <w:jc w:val="center"/>
    </w:pPr>
    <w:r w:rsidRPr="002B743F">
      <w:t xml:space="preserve">- </w:t>
    </w:r>
    <w:r w:rsidRPr="002B743F">
      <w:fldChar w:fldCharType="begin"/>
    </w:r>
    <w:r w:rsidRPr="002B743F">
      <w:instrText xml:space="preserve"> PAGE  \* Arabic  \* MERGEFORMAT </w:instrText>
    </w:r>
    <w:r w:rsidRPr="002B743F">
      <w:fldChar w:fldCharType="separate"/>
    </w:r>
    <w:r w:rsidRPr="002B743F">
      <w:t>1</w:t>
    </w:r>
    <w:r w:rsidRPr="002B743F">
      <w:fldChar w:fldCharType="end"/>
    </w:r>
    <w:r w:rsidRPr="002B743F">
      <w:t xml:space="preserve"> -</w:t>
    </w:r>
    <w:bookmarkEnd w:id="16"/>
    <w:bookmarkEnd w:id="17"/>
    <w:bookmarkEnd w:id="18"/>
    <w:bookmarkEnd w:id="1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878A8" w14:textId="77777777" w:rsidR="008D12FD" w:rsidRDefault="008D12FD" w:rsidP="008D12FD">
    <w:pPr>
      <w:pStyle w:val="Header"/>
      <w:pBdr>
        <w:bottom w:val="single" w:sz="4" w:space="1" w:color="auto"/>
      </w:pBdr>
      <w:spacing w:after="240"/>
      <w:jc w:val="center"/>
    </w:pPr>
    <w:bookmarkStart w:id="20" w:name="_Hlk62648744"/>
    <w:bookmarkStart w:id="21" w:name="_Hlk62648745"/>
    <w:bookmarkStart w:id="22" w:name="_Hlk65067094"/>
    <w:bookmarkStart w:id="23" w:name="_Hlk65067095"/>
  </w:p>
  <w:p w14:paraId="7F985E9A" w14:textId="70BFAE61" w:rsidR="00DB48BC" w:rsidRPr="002B743F" w:rsidRDefault="002B743F" w:rsidP="002B743F">
    <w:pPr>
      <w:pStyle w:val="Header"/>
      <w:pBdr>
        <w:bottom w:val="single" w:sz="4" w:space="1" w:color="auto"/>
      </w:pBdr>
      <w:jc w:val="center"/>
    </w:pPr>
    <w:r w:rsidRPr="002B743F">
      <w:t xml:space="preserve">- </w:t>
    </w:r>
    <w:r w:rsidRPr="002B743F">
      <w:fldChar w:fldCharType="begin"/>
    </w:r>
    <w:r w:rsidRPr="002B743F">
      <w:instrText xml:space="preserve"> PAGE  \* Arabic  \* MERGEFORMAT </w:instrText>
    </w:r>
    <w:r w:rsidRPr="002B743F">
      <w:fldChar w:fldCharType="separate"/>
    </w:r>
    <w:r w:rsidRPr="002B743F">
      <w:t>1</w:t>
    </w:r>
    <w:r w:rsidRPr="002B743F">
      <w:fldChar w:fldCharType="end"/>
    </w:r>
    <w:r w:rsidRPr="002B743F">
      <w:t xml:space="preserve"> </w:t>
    </w:r>
    <w:bookmarkEnd w:id="20"/>
    <w:bookmarkEnd w:id="21"/>
    <w:r w:rsidR="00DB48BC">
      <w:t>-</w:t>
    </w:r>
    <w:bookmarkEnd w:id="22"/>
    <w:bookmarkEnd w:id="2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DA46D" w14:textId="77777777" w:rsidR="002B743F" w:rsidRPr="002B743F" w:rsidRDefault="002B743F" w:rsidP="002B743F">
    <w:pPr>
      <w:pStyle w:val="Header"/>
    </w:pPr>
    <w:bookmarkStart w:id="32" w:name="_Hlk62648750"/>
    <w:bookmarkStart w:id="33" w:name="_Hlk62648751"/>
    <w:bookmarkStart w:id="34" w:name="_Hlk65067100"/>
    <w:bookmarkStart w:id="35" w:name="_Hlk65067101"/>
    <w:bookmarkEnd w:id="32"/>
    <w:bookmarkEnd w:id="33"/>
    <w:bookmarkEnd w:id="34"/>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635E8E8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CF2ED5E6"/>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233172"/>
    <w:multiLevelType w:val="hybridMultilevel"/>
    <w:tmpl w:val="22883F2C"/>
    <w:lvl w:ilvl="0" w:tplc="D1567AC8">
      <w:start w:val="1"/>
      <w:numFmt w:val="lowerRoman"/>
      <w:lvlText w:val="%1)"/>
      <w:lvlJc w:val="left"/>
      <w:pPr>
        <w:ind w:left="1244" w:hanging="567"/>
        <w:jc w:val="left"/>
      </w:pPr>
      <w:rPr>
        <w:rFonts w:ascii="Times New Roman" w:eastAsia="Times New Roman" w:hAnsi="Times New Roman" w:cs="Times New Roman" w:hint="default"/>
        <w:color w:val="131413"/>
        <w:w w:val="100"/>
        <w:sz w:val="20"/>
        <w:szCs w:val="20"/>
      </w:rPr>
    </w:lvl>
    <w:lvl w:ilvl="1" w:tplc="F0BE476A">
      <w:numFmt w:val="bullet"/>
      <w:lvlText w:val="•"/>
      <w:lvlJc w:val="left"/>
      <w:pPr>
        <w:ind w:left="1785" w:hanging="567"/>
      </w:pPr>
      <w:rPr>
        <w:rFonts w:hint="default"/>
      </w:rPr>
    </w:lvl>
    <w:lvl w:ilvl="2" w:tplc="2E6677D6">
      <w:numFmt w:val="bullet"/>
      <w:lvlText w:val="•"/>
      <w:lvlJc w:val="left"/>
      <w:pPr>
        <w:ind w:left="2331" w:hanging="567"/>
      </w:pPr>
      <w:rPr>
        <w:rFonts w:hint="default"/>
      </w:rPr>
    </w:lvl>
    <w:lvl w:ilvl="3" w:tplc="C8A028A0">
      <w:numFmt w:val="bullet"/>
      <w:lvlText w:val="•"/>
      <w:lvlJc w:val="left"/>
      <w:pPr>
        <w:ind w:left="2877" w:hanging="567"/>
      </w:pPr>
      <w:rPr>
        <w:rFonts w:hint="default"/>
      </w:rPr>
    </w:lvl>
    <w:lvl w:ilvl="4" w:tplc="EF006BE6">
      <w:numFmt w:val="bullet"/>
      <w:lvlText w:val="•"/>
      <w:lvlJc w:val="left"/>
      <w:pPr>
        <w:ind w:left="3422" w:hanging="567"/>
      </w:pPr>
      <w:rPr>
        <w:rFonts w:hint="default"/>
      </w:rPr>
    </w:lvl>
    <w:lvl w:ilvl="5" w:tplc="C15ED1FC">
      <w:numFmt w:val="bullet"/>
      <w:lvlText w:val="•"/>
      <w:lvlJc w:val="left"/>
      <w:pPr>
        <w:ind w:left="3968" w:hanging="567"/>
      </w:pPr>
      <w:rPr>
        <w:rFonts w:hint="default"/>
      </w:rPr>
    </w:lvl>
    <w:lvl w:ilvl="6" w:tplc="30C8E206">
      <w:numFmt w:val="bullet"/>
      <w:lvlText w:val="•"/>
      <w:lvlJc w:val="left"/>
      <w:pPr>
        <w:ind w:left="4514" w:hanging="567"/>
      </w:pPr>
      <w:rPr>
        <w:rFonts w:hint="default"/>
      </w:rPr>
    </w:lvl>
    <w:lvl w:ilvl="7" w:tplc="C682E630">
      <w:numFmt w:val="bullet"/>
      <w:lvlText w:val="•"/>
      <w:lvlJc w:val="left"/>
      <w:pPr>
        <w:ind w:left="5060" w:hanging="567"/>
      </w:pPr>
      <w:rPr>
        <w:rFonts w:hint="default"/>
      </w:rPr>
    </w:lvl>
    <w:lvl w:ilvl="8" w:tplc="3C166124">
      <w:numFmt w:val="bullet"/>
      <w:lvlText w:val="•"/>
      <w:lvlJc w:val="left"/>
      <w:pPr>
        <w:ind w:left="5605" w:hanging="567"/>
      </w:pPr>
      <w:rPr>
        <w:rFonts w:hint="default"/>
      </w:rPr>
    </w:lvl>
  </w:abstractNum>
  <w:abstractNum w:abstractNumId="11" w15:restartNumberingAfterBreak="0">
    <w:nsid w:val="11644DE8"/>
    <w:multiLevelType w:val="hybridMultilevel"/>
    <w:tmpl w:val="1D1868C8"/>
    <w:lvl w:ilvl="0" w:tplc="1E7037FA">
      <w:start w:val="1"/>
      <w:numFmt w:val="decimal"/>
      <w:lvlText w:val="%1."/>
      <w:lvlJc w:val="left"/>
      <w:pPr>
        <w:ind w:left="1258" w:hanging="567"/>
        <w:jc w:val="left"/>
      </w:pPr>
      <w:rPr>
        <w:rFonts w:ascii="Times New Roman" w:eastAsia="Times New Roman" w:hAnsi="Times New Roman" w:cs="Times New Roman" w:hint="default"/>
        <w:color w:val="131413"/>
        <w:spacing w:val="-11"/>
        <w:w w:val="99"/>
        <w:sz w:val="20"/>
        <w:szCs w:val="20"/>
      </w:rPr>
    </w:lvl>
    <w:lvl w:ilvl="1" w:tplc="D10EB246">
      <w:start w:val="1"/>
      <w:numFmt w:val="lowerLetter"/>
      <w:lvlText w:val="%2)"/>
      <w:lvlJc w:val="left"/>
      <w:pPr>
        <w:ind w:left="1244" w:hanging="567"/>
        <w:jc w:val="left"/>
      </w:pPr>
      <w:rPr>
        <w:rFonts w:ascii="Times New Roman" w:eastAsia="Times New Roman" w:hAnsi="Times New Roman" w:cs="Times New Roman" w:hint="default"/>
        <w:color w:val="131413"/>
        <w:w w:val="100"/>
        <w:sz w:val="20"/>
        <w:szCs w:val="20"/>
      </w:rPr>
    </w:lvl>
    <w:lvl w:ilvl="2" w:tplc="CDFE3F02">
      <w:numFmt w:val="bullet"/>
      <w:lvlText w:val="•"/>
      <w:lvlJc w:val="left"/>
      <w:pPr>
        <w:ind w:left="1864" w:hanging="567"/>
      </w:pPr>
      <w:rPr>
        <w:rFonts w:hint="default"/>
      </w:rPr>
    </w:lvl>
    <w:lvl w:ilvl="3" w:tplc="98C64A76">
      <w:numFmt w:val="bullet"/>
      <w:lvlText w:val="•"/>
      <w:lvlJc w:val="left"/>
      <w:pPr>
        <w:ind w:left="2468" w:hanging="567"/>
      </w:pPr>
      <w:rPr>
        <w:rFonts w:hint="default"/>
      </w:rPr>
    </w:lvl>
    <w:lvl w:ilvl="4" w:tplc="FB5A5410">
      <w:numFmt w:val="bullet"/>
      <w:lvlText w:val="•"/>
      <w:lvlJc w:val="left"/>
      <w:pPr>
        <w:ind w:left="3072" w:hanging="567"/>
      </w:pPr>
      <w:rPr>
        <w:rFonts w:hint="default"/>
      </w:rPr>
    </w:lvl>
    <w:lvl w:ilvl="5" w:tplc="3C340BD8">
      <w:numFmt w:val="bullet"/>
      <w:lvlText w:val="•"/>
      <w:lvlJc w:val="left"/>
      <w:pPr>
        <w:ind w:left="3676" w:hanging="567"/>
      </w:pPr>
      <w:rPr>
        <w:rFonts w:hint="default"/>
      </w:rPr>
    </w:lvl>
    <w:lvl w:ilvl="6" w:tplc="9CC4996C">
      <w:numFmt w:val="bullet"/>
      <w:lvlText w:val="•"/>
      <w:lvlJc w:val="left"/>
      <w:pPr>
        <w:ind w:left="4280" w:hanging="567"/>
      </w:pPr>
      <w:rPr>
        <w:rFonts w:hint="default"/>
      </w:rPr>
    </w:lvl>
    <w:lvl w:ilvl="7" w:tplc="2AFA4690">
      <w:numFmt w:val="bullet"/>
      <w:lvlText w:val="•"/>
      <w:lvlJc w:val="left"/>
      <w:pPr>
        <w:ind w:left="4884" w:hanging="567"/>
      </w:pPr>
      <w:rPr>
        <w:rFonts w:hint="default"/>
      </w:rPr>
    </w:lvl>
    <w:lvl w:ilvl="8" w:tplc="7932E7CA">
      <w:numFmt w:val="bullet"/>
      <w:lvlText w:val="•"/>
      <w:lvlJc w:val="left"/>
      <w:pPr>
        <w:ind w:left="5489" w:hanging="567"/>
      </w:pPr>
      <w:rPr>
        <w:rFonts w:hint="default"/>
      </w:rPr>
    </w:lvl>
  </w:abstractNum>
  <w:abstractNum w:abstractNumId="12" w15:restartNumberingAfterBreak="0">
    <w:nsid w:val="19904D52"/>
    <w:multiLevelType w:val="hybridMultilevel"/>
    <w:tmpl w:val="059A6732"/>
    <w:lvl w:ilvl="0" w:tplc="64DA96CE">
      <w:start w:val="1"/>
      <w:numFmt w:val="decimal"/>
      <w:lvlText w:val="%1."/>
      <w:lvlJc w:val="left"/>
      <w:pPr>
        <w:ind w:left="110" w:hanging="567"/>
        <w:jc w:val="left"/>
      </w:pPr>
      <w:rPr>
        <w:rFonts w:ascii="Times New Roman" w:eastAsia="Times New Roman" w:hAnsi="Times New Roman" w:cs="Times New Roman" w:hint="default"/>
        <w:color w:val="131413"/>
        <w:spacing w:val="-16"/>
        <w:w w:val="98"/>
        <w:sz w:val="20"/>
        <w:szCs w:val="20"/>
      </w:rPr>
    </w:lvl>
    <w:lvl w:ilvl="1" w:tplc="EE8622FA">
      <w:start w:val="1"/>
      <w:numFmt w:val="lowerLetter"/>
      <w:lvlText w:val="%2)"/>
      <w:lvlJc w:val="left"/>
      <w:pPr>
        <w:ind w:left="1244" w:hanging="567"/>
        <w:jc w:val="left"/>
      </w:pPr>
      <w:rPr>
        <w:rFonts w:ascii="Times New Roman" w:eastAsia="Times New Roman" w:hAnsi="Times New Roman" w:cs="Times New Roman" w:hint="default"/>
        <w:color w:val="131413"/>
        <w:w w:val="100"/>
        <w:sz w:val="20"/>
        <w:szCs w:val="20"/>
      </w:rPr>
    </w:lvl>
    <w:lvl w:ilvl="2" w:tplc="31F25914">
      <w:numFmt w:val="bullet"/>
      <w:lvlText w:val="•"/>
      <w:lvlJc w:val="left"/>
      <w:pPr>
        <w:ind w:left="1846" w:hanging="567"/>
      </w:pPr>
      <w:rPr>
        <w:rFonts w:hint="default"/>
      </w:rPr>
    </w:lvl>
    <w:lvl w:ilvl="3" w:tplc="BC406EDA">
      <w:numFmt w:val="bullet"/>
      <w:lvlText w:val="•"/>
      <w:lvlJc w:val="left"/>
      <w:pPr>
        <w:ind w:left="2452" w:hanging="567"/>
      </w:pPr>
      <w:rPr>
        <w:rFonts w:hint="default"/>
      </w:rPr>
    </w:lvl>
    <w:lvl w:ilvl="4" w:tplc="FA88D518">
      <w:numFmt w:val="bullet"/>
      <w:lvlText w:val="•"/>
      <w:lvlJc w:val="left"/>
      <w:pPr>
        <w:ind w:left="3059" w:hanging="567"/>
      </w:pPr>
      <w:rPr>
        <w:rFonts w:hint="default"/>
      </w:rPr>
    </w:lvl>
    <w:lvl w:ilvl="5" w:tplc="78FCD788">
      <w:numFmt w:val="bullet"/>
      <w:lvlText w:val="•"/>
      <w:lvlJc w:val="left"/>
      <w:pPr>
        <w:ind w:left="3665" w:hanging="567"/>
      </w:pPr>
      <w:rPr>
        <w:rFonts w:hint="default"/>
      </w:rPr>
    </w:lvl>
    <w:lvl w:ilvl="6" w:tplc="2CD68D54">
      <w:numFmt w:val="bullet"/>
      <w:lvlText w:val="•"/>
      <w:lvlJc w:val="left"/>
      <w:pPr>
        <w:ind w:left="4271" w:hanging="567"/>
      </w:pPr>
      <w:rPr>
        <w:rFonts w:hint="default"/>
      </w:rPr>
    </w:lvl>
    <w:lvl w:ilvl="7" w:tplc="31C2480C">
      <w:numFmt w:val="bullet"/>
      <w:lvlText w:val="•"/>
      <w:lvlJc w:val="left"/>
      <w:pPr>
        <w:ind w:left="4878" w:hanging="567"/>
      </w:pPr>
      <w:rPr>
        <w:rFonts w:hint="default"/>
      </w:rPr>
    </w:lvl>
    <w:lvl w:ilvl="8" w:tplc="75907148">
      <w:numFmt w:val="bullet"/>
      <w:lvlText w:val="•"/>
      <w:lvlJc w:val="left"/>
      <w:pPr>
        <w:ind w:left="5484" w:hanging="567"/>
      </w:pPr>
      <w:rPr>
        <w:rFonts w:hint="default"/>
      </w:rPr>
    </w:lvl>
  </w:abstractNum>
  <w:abstractNum w:abstractNumId="13" w15:restartNumberingAfterBreak="0">
    <w:nsid w:val="1F5F3C99"/>
    <w:multiLevelType w:val="hybridMultilevel"/>
    <w:tmpl w:val="03CE50AE"/>
    <w:lvl w:ilvl="0" w:tplc="74486950">
      <w:start w:val="1"/>
      <w:numFmt w:val="decimal"/>
      <w:lvlText w:val="%1."/>
      <w:lvlJc w:val="left"/>
      <w:pPr>
        <w:ind w:left="123" w:hanging="567"/>
        <w:jc w:val="left"/>
      </w:pPr>
      <w:rPr>
        <w:rFonts w:ascii="Times New Roman" w:eastAsia="Times New Roman" w:hAnsi="Times New Roman" w:cs="Times New Roman" w:hint="default"/>
        <w:color w:val="131413"/>
        <w:spacing w:val="-9"/>
        <w:w w:val="96"/>
        <w:sz w:val="20"/>
        <w:szCs w:val="20"/>
      </w:rPr>
    </w:lvl>
    <w:lvl w:ilvl="1" w:tplc="9C525C60">
      <w:numFmt w:val="bullet"/>
      <w:lvlText w:val="•"/>
      <w:lvlJc w:val="left"/>
      <w:pPr>
        <w:ind w:left="851" w:hanging="567"/>
      </w:pPr>
      <w:rPr>
        <w:rFonts w:hint="default"/>
      </w:rPr>
    </w:lvl>
    <w:lvl w:ilvl="2" w:tplc="39D611B2">
      <w:numFmt w:val="bullet"/>
      <w:lvlText w:val="•"/>
      <w:lvlJc w:val="left"/>
      <w:pPr>
        <w:ind w:left="1583" w:hanging="567"/>
      </w:pPr>
      <w:rPr>
        <w:rFonts w:hint="default"/>
      </w:rPr>
    </w:lvl>
    <w:lvl w:ilvl="3" w:tplc="3AAEAF00">
      <w:numFmt w:val="bullet"/>
      <w:lvlText w:val="•"/>
      <w:lvlJc w:val="left"/>
      <w:pPr>
        <w:ind w:left="2315" w:hanging="567"/>
      </w:pPr>
      <w:rPr>
        <w:rFonts w:hint="default"/>
      </w:rPr>
    </w:lvl>
    <w:lvl w:ilvl="4" w:tplc="1C902FD6">
      <w:numFmt w:val="bullet"/>
      <w:lvlText w:val="•"/>
      <w:lvlJc w:val="left"/>
      <w:pPr>
        <w:ind w:left="3046" w:hanging="567"/>
      </w:pPr>
      <w:rPr>
        <w:rFonts w:hint="default"/>
      </w:rPr>
    </w:lvl>
    <w:lvl w:ilvl="5" w:tplc="82349DB4">
      <w:numFmt w:val="bullet"/>
      <w:lvlText w:val="•"/>
      <w:lvlJc w:val="left"/>
      <w:pPr>
        <w:ind w:left="3778" w:hanging="567"/>
      </w:pPr>
      <w:rPr>
        <w:rFonts w:hint="default"/>
      </w:rPr>
    </w:lvl>
    <w:lvl w:ilvl="6" w:tplc="B1884952">
      <w:numFmt w:val="bullet"/>
      <w:lvlText w:val="•"/>
      <w:lvlJc w:val="left"/>
      <w:pPr>
        <w:ind w:left="4510" w:hanging="567"/>
      </w:pPr>
      <w:rPr>
        <w:rFonts w:hint="default"/>
      </w:rPr>
    </w:lvl>
    <w:lvl w:ilvl="7" w:tplc="5192BF28">
      <w:numFmt w:val="bullet"/>
      <w:lvlText w:val="•"/>
      <w:lvlJc w:val="left"/>
      <w:pPr>
        <w:ind w:left="5242" w:hanging="567"/>
      </w:pPr>
      <w:rPr>
        <w:rFonts w:hint="default"/>
      </w:rPr>
    </w:lvl>
    <w:lvl w:ilvl="8" w:tplc="DBFE5E08">
      <w:numFmt w:val="bullet"/>
      <w:lvlText w:val="•"/>
      <w:lvlJc w:val="left"/>
      <w:pPr>
        <w:ind w:left="5973" w:hanging="567"/>
      </w:pPr>
      <w:rPr>
        <w:rFonts w:hint="default"/>
      </w:rPr>
    </w:lvl>
  </w:abstractNum>
  <w:abstractNum w:abstractNumId="14" w15:restartNumberingAfterBreak="0">
    <w:nsid w:val="28E2115B"/>
    <w:multiLevelType w:val="hybridMultilevel"/>
    <w:tmpl w:val="FD0669E0"/>
    <w:lvl w:ilvl="0" w:tplc="35D47948">
      <w:start w:val="2"/>
      <w:numFmt w:val="lowerLetter"/>
      <w:lvlText w:val="%1)"/>
      <w:lvlJc w:val="left"/>
      <w:pPr>
        <w:ind w:left="1257" w:hanging="567"/>
        <w:jc w:val="left"/>
      </w:pPr>
      <w:rPr>
        <w:rFonts w:ascii="Times New Roman" w:eastAsia="Times New Roman" w:hAnsi="Times New Roman" w:cs="Times New Roman" w:hint="default"/>
        <w:color w:val="131413"/>
        <w:spacing w:val="-16"/>
        <w:w w:val="99"/>
        <w:sz w:val="20"/>
        <w:szCs w:val="20"/>
      </w:rPr>
    </w:lvl>
    <w:lvl w:ilvl="1" w:tplc="4AF0484C">
      <w:numFmt w:val="bullet"/>
      <w:lvlText w:val="•"/>
      <w:lvlJc w:val="left"/>
      <w:pPr>
        <w:ind w:left="1877" w:hanging="567"/>
      </w:pPr>
      <w:rPr>
        <w:rFonts w:hint="default"/>
      </w:rPr>
    </w:lvl>
    <w:lvl w:ilvl="2" w:tplc="DBC6C2A0">
      <w:numFmt w:val="bullet"/>
      <w:lvlText w:val="•"/>
      <w:lvlJc w:val="left"/>
      <w:pPr>
        <w:ind w:left="2495" w:hanging="567"/>
      </w:pPr>
      <w:rPr>
        <w:rFonts w:hint="default"/>
      </w:rPr>
    </w:lvl>
    <w:lvl w:ilvl="3" w:tplc="25801C26">
      <w:numFmt w:val="bullet"/>
      <w:lvlText w:val="•"/>
      <w:lvlJc w:val="left"/>
      <w:pPr>
        <w:ind w:left="3113" w:hanging="567"/>
      </w:pPr>
      <w:rPr>
        <w:rFonts w:hint="default"/>
      </w:rPr>
    </w:lvl>
    <w:lvl w:ilvl="4" w:tplc="6420B170">
      <w:numFmt w:val="bullet"/>
      <w:lvlText w:val="•"/>
      <w:lvlJc w:val="left"/>
      <w:pPr>
        <w:ind w:left="3730" w:hanging="567"/>
      </w:pPr>
      <w:rPr>
        <w:rFonts w:hint="default"/>
      </w:rPr>
    </w:lvl>
    <w:lvl w:ilvl="5" w:tplc="ADF8781E">
      <w:numFmt w:val="bullet"/>
      <w:lvlText w:val="•"/>
      <w:lvlJc w:val="left"/>
      <w:pPr>
        <w:ind w:left="4348" w:hanging="567"/>
      </w:pPr>
      <w:rPr>
        <w:rFonts w:hint="default"/>
      </w:rPr>
    </w:lvl>
    <w:lvl w:ilvl="6" w:tplc="7C1E0E9C">
      <w:numFmt w:val="bullet"/>
      <w:lvlText w:val="•"/>
      <w:lvlJc w:val="left"/>
      <w:pPr>
        <w:ind w:left="4966" w:hanging="567"/>
      </w:pPr>
      <w:rPr>
        <w:rFonts w:hint="default"/>
      </w:rPr>
    </w:lvl>
    <w:lvl w:ilvl="7" w:tplc="B77249B8">
      <w:numFmt w:val="bullet"/>
      <w:lvlText w:val="•"/>
      <w:lvlJc w:val="left"/>
      <w:pPr>
        <w:ind w:left="5584" w:hanging="567"/>
      </w:pPr>
      <w:rPr>
        <w:rFonts w:hint="default"/>
      </w:rPr>
    </w:lvl>
    <w:lvl w:ilvl="8" w:tplc="709A2788">
      <w:numFmt w:val="bullet"/>
      <w:lvlText w:val="•"/>
      <w:lvlJc w:val="left"/>
      <w:pPr>
        <w:ind w:left="6201" w:hanging="567"/>
      </w:pPr>
      <w:rPr>
        <w:rFonts w:hint="default"/>
      </w:rPr>
    </w:lvl>
  </w:abstractNum>
  <w:abstractNum w:abstractNumId="15" w15:restartNumberingAfterBreak="0">
    <w:nsid w:val="391D4056"/>
    <w:multiLevelType w:val="hybridMultilevel"/>
    <w:tmpl w:val="E948FAE0"/>
    <w:lvl w:ilvl="0" w:tplc="0F8A7F7A">
      <w:start w:val="1"/>
      <w:numFmt w:val="decimal"/>
      <w:lvlText w:val="%1."/>
      <w:lvlJc w:val="left"/>
      <w:pPr>
        <w:ind w:left="123" w:hanging="567"/>
        <w:jc w:val="left"/>
      </w:pPr>
      <w:rPr>
        <w:rFonts w:ascii="Times New Roman" w:eastAsia="Times New Roman" w:hAnsi="Times New Roman" w:cs="Times New Roman" w:hint="default"/>
        <w:color w:val="131413"/>
        <w:spacing w:val="-23"/>
        <w:w w:val="99"/>
        <w:sz w:val="20"/>
        <w:szCs w:val="20"/>
      </w:rPr>
    </w:lvl>
    <w:lvl w:ilvl="1" w:tplc="D8641F60">
      <w:numFmt w:val="bullet"/>
      <w:lvlText w:val="•"/>
      <w:lvlJc w:val="left"/>
      <w:pPr>
        <w:ind w:left="851" w:hanging="567"/>
      </w:pPr>
      <w:rPr>
        <w:rFonts w:hint="default"/>
      </w:rPr>
    </w:lvl>
    <w:lvl w:ilvl="2" w:tplc="EF7617EE">
      <w:numFmt w:val="bullet"/>
      <w:lvlText w:val="•"/>
      <w:lvlJc w:val="left"/>
      <w:pPr>
        <w:ind w:left="1583" w:hanging="567"/>
      </w:pPr>
      <w:rPr>
        <w:rFonts w:hint="default"/>
      </w:rPr>
    </w:lvl>
    <w:lvl w:ilvl="3" w:tplc="7A9A08F8">
      <w:numFmt w:val="bullet"/>
      <w:lvlText w:val="•"/>
      <w:lvlJc w:val="left"/>
      <w:pPr>
        <w:ind w:left="2315" w:hanging="567"/>
      </w:pPr>
      <w:rPr>
        <w:rFonts w:hint="default"/>
      </w:rPr>
    </w:lvl>
    <w:lvl w:ilvl="4" w:tplc="76B69C8E">
      <w:numFmt w:val="bullet"/>
      <w:lvlText w:val="•"/>
      <w:lvlJc w:val="left"/>
      <w:pPr>
        <w:ind w:left="3046" w:hanging="567"/>
      </w:pPr>
      <w:rPr>
        <w:rFonts w:hint="default"/>
      </w:rPr>
    </w:lvl>
    <w:lvl w:ilvl="5" w:tplc="66A2BFEE">
      <w:numFmt w:val="bullet"/>
      <w:lvlText w:val="•"/>
      <w:lvlJc w:val="left"/>
      <w:pPr>
        <w:ind w:left="3778" w:hanging="567"/>
      </w:pPr>
      <w:rPr>
        <w:rFonts w:hint="default"/>
      </w:rPr>
    </w:lvl>
    <w:lvl w:ilvl="6" w:tplc="8B081A52">
      <w:numFmt w:val="bullet"/>
      <w:lvlText w:val="•"/>
      <w:lvlJc w:val="left"/>
      <w:pPr>
        <w:ind w:left="4510" w:hanging="567"/>
      </w:pPr>
      <w:rPr>
        <w:rFonts w:hint="default"/>
      </w:rPr>
    </w:lvl>
    <w:lvl w:ilvl="7" w:tplc="313EA610">
      <w:numFmt w:val="bullet"/>
      <w:lvlText w:val="•"/>
      <w:lvlJc w:val="left"/>
      <w:pPr>
        <w:ind w:left="5242" w:hanging="567"/>
      </w:pPr>
      <w:rPr>
        <w:rFonts w:hint="default"/>
      </w:rPr>
    </w:lvl>
    <w:lvl w:ilvl="8" w:tplc="38BAA336">
      <w:numFmt w:val="bullet"/>
      <w:lvlText w:val="•"/>
      <w:lvlJc w:val="left"/>
      <w:pPr>
        <w:ind w:left="5973" w:hanging="567"/>
      </w:pPr>
      <w:rPr>
        <w:rFonts w:hint="default"/>
      </w:rPr>
    </w:lvl>
  </w:abstractNum>
  <w:abstractNum w:abstractNumId="16" w15:restartNumberingAfterBreak="0">
    <w:nsid w:val="45447D00"/>
    <w:multiLevelType w:val="hybridMultilevel"/>
    <w:tmpl w:val="5426D074"/>
    <w:lvl w:ilvl="0" w:tplc="A5E84974">
      <w:start w:val="1"/>
      <w:numFmt w:val="decimal"/>
      <w:lvlText w:val="%1."/>
      <w:lvlJc w:val="left"/>
      <w:pPr>
        <w:ind w:left="110" w:hanging="567"/>
        <w:jc w:val="left"/>
      </w:pPr>
      <w:rPr>
        <w:rFonts w:ascii="Times New Roman" w:eastAsia="Times New Roman" w:hAnsi="Times New Roman" w:cs="Times New Roman" w:hint="default"/>
        <w:color w:val="131413"/>
        <w:spacing w:val="-7"/>
        <w:w w:val="99"/>
        <w:sz w:val="20"/>
        <w:szCs w:val="20"/>
      </w:rPr>
    </w:lvl>
    <w:lvl w:ilvl="1" w:tplc="429A8266">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FC5279D8">
      <w:numFmt w:val="bullet"/>
      <w:lvlText w:val="•"/>
      <w:lvlJc w:val="left"/>
      <w:pPr>
        <w:ind w:left="1815" w:hanging="567"/>
      </w:pPr>
      <w:rPr>
        <w:rFonts w:hint="default"/>
      </w:rPr>
    </w:lvl>
    <w:lvl w:ilvl="3" w:tplc="CD46AD90">
      <w:numFmt w:val="bullet"/>
      <w:lvlText w:val="•"/>
      <w:lvlJc w:val="left"/>
      <w:pPr>
        <w:ind w:left="2370" w:hanging="567"/>
      </w:pPr>
      <w:rPr>
        <w:rFonts w:hint="default"/>
      </w:rPr>
    </w:lvl>
    <w:lvl w:ilvl="4" w:tplc="EEF4C2FA">
      <w:numFmt w:val="bullet"/>
      <w:lvlText w:val="•"/>
      <w:lvlJc w:val="left"/>
      <w:pPr>
        <w:ind w:left="2925" w:hanging="567"/>
      </w:pPr>
      <w:rPr>
        <w:rFonts w:hint="default"/>
      </w:rPr>
    </w:lvl>
    <w:lvl w:ilvl="5" w:tplc="95BA924A">
      <w:numFmt w:val="bullet"/>
      <w:lvlText w:val="•"/>
      <w:lvlJc w:val="left"/>
      <w:pPr>
        <w:ind w:left="3481" w:hanging="567"/>
      </w:pPr>
      <w:rPr>
        <w:rFonts w:hint="default"/>
      </w:rPr>
    </w:lvl>
    <w:lvl w:ilvl="6" w:tplc="914EEDDC">
      <w:numFmt w:val="bullet"/>
      <w:lvlText w:val="•"/>
      <w:lvlJc w:val="left"/>
      <w:pPr>
        <w:ind w:left="4036" w:hanging="567"/>
      </w:pPr>
      <w:rPr>
        <w:rFonts w:hint="default"/>
      </w:rPr>
    </w:lvl>
    <w:lvl w:ilvl="7" w:tplc="CF16158A">
      <w:numFmt w:val="bullet"/>
      <w:lvlText w:val="•"/>
      <w:lvlJc w:val="left"/>
      <w:pPr>
        <w:ind w:left="4591" w:hanging="567"/>
      </w:pPr>
      <w:rPr>
        <w:rFonts w:hint="default"/>
      </w:rPr>
    </w:lvl>
    <w:lvl w:ilvl="8" w:tplc="D2A483A2">
      <w:numFmt w:val="bullet"/>
      <w:lvlText w:val="•"/>
      <w:lvlJc w:val="left"/>
      <w:pPr>
        <w:ind w:left="5146" w:hanging="567"/>
      </w:pPr>
      <w:rPr>
        <w:rFonts w:hint="default"/>
      </w:rPr>
    </w:lvl>
  </w:abstractNum>
  <w:abstractNum w:abstractNumId="17" w15:restartNumberingAfterBreak="0">
    <w:nsid w:val="53E948C5"/>
    <w:multiLevelType w:val="multilevel"/>
    <w:tmpl w:val="A2ECE90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8" w15:restartNumberingAfterBreak="0">
    <w:nsid w:val="57454AB1"/>
    <w:multiLevelType w:val="multilevel"/>
    <w:tmpl w:val="82E8A600"/>
    <w:numStyleLink w:val="LegalHeadings"/>
  </w:abstractNum>
  <w:abstractNum w:abstractNumId="19" w15:restartNumberingAfterBreak="0">
    <w:nsid w:val="57551E12"/>
    <w:multiLevelType w:val="multilevel"/>
    <w:tmpl w:val="82E8A60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0" w15:restartNumberingAfterBreak="0">
    <w:nsid w:val="5C8514CC"/>
    <w:multiLevelType w:val="hybridMultilevel"/>
    <w:tmpl w:val="0BD2EC5C"/>
    <w:lvl w:ilvl="0" w:tplc="483A6956">
      <w:start w:val="1"/>
      <w:numFmt w:val="decimal"/>
      <w:lvlText w:val="%1."/>
      <w:lvlJc w:val="left"/>
      <w:pPr>
        <w:ind w:left="110" w:hanging="567"/>
        <w:jc w:val="left"/>
      </w:pPr>
      <w:rPr>
        <w:rFonts w:ascii="Times New Roman" w:eastAsia="Times New Roman" w:hAnsi="Times New Roman" w:cs="Times New Roman" w:hint="default"/>
        <w:color w:val="131413"/>
        <w:spacing w:val="-24"/>
        <w:w w:val="99"/>
        <w:sz w:val="20"/>
        <w:szCs w:val="20"/>
      </w:rPr>
    </w:lvl>
    <w:lvl w:ilvl="1" w:tplc="A0D69C68">
      <w:numFmt w:val="bullet"/>
      <w:lvlText w:val="•"/>
      <w:lvlJc w:val="left"/>
      <w:pPr>
        <w:ind w:left="777" w:hanging="567"/>
      </w:pPr>
      <w:rPr>
        <w:rFonts w:hint="default"/>
      </w:rPr>
    </w:lvl>
    <w:lvl w:ilvl="2" w:tplc="E5C43148">
      <w:numFmt w:val="bullet"/>
      <w:lvlText w:val="•"/>
      <w:lvlJc w:val="left"/>
      <w:pPr>
        <w:ind w:left="1435" w:hanging="567"/>
      </w:pPr>
      <w:rPr>
        <w:rFonts w:hint="default"/>
      </w:rPr>
    </w:lvl>
    <w:lvl w:ilvl="3" w:tplc="F0545E12">
      <w:numFmt w:val="bullet"/>
      <w:lvlText w:val="•"/>
      <w:lvlJc w:val="left"/>
      <w:pPr>
        <w:ind w:left="2093" w:hanging="567"/>
      </w:pPr>
      <w:rPr>
        <w:rFonts w:hint="default"/>
      </w:rPr>
    </w:lvl>
    <w:lvl w:ilvl="4" w:tplc="2F727FE0">
      <w:numFmt w:val="bullet"/>
      <w:lvlText w:val="•"/>
      <w:lvlJc w:val="left"/>
      <w:pPr>
        <w:ind w:left="2750" w:hanging="567"/>
      </w:pPr>
      <w:rPr>
        <w:rFonts w:hint="default"/>
      </w:rPr>
    </w:lvl>
    <w:lvl w:ilvl="5" w:tplc="30221846">
      <w:numFmt w:val="bullet"/>
      <w:lvlText w:val="•"/>
      <w:lvlJc w:val="left"/>
      <w:pPr>
        <w:ind w:left="3408" w:hanging="567"/>
      </w:pPr>
      <w:rPr>
        <w:rFonts w:hint="default"/>
      </w:rPr>
    </w:lvl>
    <w:lvl w:ilvl="6" w:tplc="AE1E48BA">
      <w:numFmt w:val="bullet"/>
      <w:lvlText w:val="•"/>
      <w:lvlJc w:val="left"/>
      <w:pPr>
        <w:ind w:left="4066" w:hanging="567"/>
      </w:pPr>
      <w:rPr>
        <w:rFonts w:hint="default"/>
      </w:rPr>
    </w:lvl>
    <w:lvl w:ilvl="7" w:tplc="7E9810EC">
      <w:numFmt w:val="bullet"/>
      <w:lvlText w:val="•"/>
      <w:lvlJc w:val="left"/>
      <w:pPr>
        <w:ind w:left="4724" w:hanging="567"/>
      </w:pPr>
      <w:rPr>
        <w:rFonts w:hint="default"/>
      </w:rPr>
    </w:lvl>
    <w:lvl w:ilvl="8" w:tplc="9190A91A">
      <w:numFmt w:val="bullet"/>
      <w:lvlText w:val="•"/>
      <w:lvlJc w:val="left"/>
      <w:pPr>
        <w:ind w:left="5381" w:hanging="567"/>
      </w:pPr>
      <w:rPr>
        <w:rFonts w:hint="default"/>
      </w:rPr>
    </w:lvl>
  </w:abstractNum>
  <w:abstractNum w:abstractNumId="21" w15:restartNumberingAfterBreak="0">
    <w:nsid w:val="5CD47722"/>
    <w:multiLevelType w:val="hybridMultilevel"/>
    <w:tmpl w:val="6E844954"/>
    <w:lvl w:ilvl="0" w:tplc="AA503892">
      <w:start w:val="1"/>
      <w:numFmt w:val="decimal"/>
      <w:lvlText w:val="%1."/>
      <w:lvlJc w:val="left"/>
      <w:pPr>
        <w:ind w:left="123" w:hanging="567"/>
        <w:jc w:val="left"/>
      </w:pPr>
      <w:rPr>
        <w:rFonts w:ascii="Times New Roman" w:eastAsia="Times New Roman" w:hAnsi="Times New Roman" w:cs="Times New Roman" w:hint="default"/>
        <w:color w:val="131413"/>
        <w:spacing w:val="-24"/>
        <w:w w:val="99"/>
        <w:sz w:val="20"/>
        <w:szCs w:val="20"/>
      </w:rPr>
    </w:lvl>
    <w:lvl w:ilvl="1" w:tplc="BB984CA0">
      <w:numFmt w:val="bullet"/>
      <w:lvlText w:val="•"/>
      <w:lvlJc w:val="left"/>
      <w:pPr>
        <w:ind w:left="851" w:hanging="567"/>
      </w:pPr>
      <w:rPr>
        <w:rFonts w:hint="default"/>
      </w:rPr>
    </w:lvl>
    <w:lvl w:ilvl="2" w:tplc="0452411E">
      <w:numFmt w:val="bullet"/>
      <w:lvlText w:val="•"/>
      <w:lvlJc w:val="left"/>
      <w:pPr>
        <w:ind w:left="1583" w:hanging="567"/>
      </w:pPr>
      <w:rPr>
        <w:rFonts w:hint="default"/>
      </w:rPr>
    </w:lvl>
    <w:lvl w:ilvl="3" w:tplc="93861F1C">
      <w:numFmt w:val="bullet"/>
      <w:lvlText w:val="•"/>
      <w:lvlJc w:val="left"/>
      <w:pPr>
        <w:ind w:left="2315" w:hanging="567"/>
      </w:pPr>
      <w:rPr>
        <w:rFonts w:hint="default"/>
      </w:rPr>
    </w:lvl>
    <w:lvl w:ilvl="4" w:tplc="E0A22686">
      <w:numFmt w:val="bullet"/>
      <w:lvlText w:val="•"/>
      <w:lvlJc w:val="left"/>
      <w:pPr>
        <w:ind w:left="3046" w:hanging="567"/>
      </w:pPr>
      <w:rPr>
        <w:rFonts w:hint="default"/>
      </w:rPr>
    </w:lvl>
    <w:lvl w:ilvl="5" w:tplc="4B66F01C">
      <w:numFmt w:val="bullet"/>
      <w:lvlText w:val="•"/>
      <w:lvlJc w:val="left"/>
      <w:pPr>
        <w:ind w:left="3778" w:hanging="567"/>
      </w:pPr>
      <w:rPr>
        <w:rFonts w:hint="default"/>
      </w:rPr>
    </w:lvl>
    <w:lvl w:ilvl="6" w:tplc="1FB6CCCC">
      <w:numFmt w:val="bullet"/>
      <w:lvlText w:val="•"/>
      <w:lvlJc w:val="left"/>
      <w:pPr>
        <w:ind w:left="4510" w:hanging="567"/>
      </w:pPr>
      <w:rPr>
        <w:rFonts w:hint="default"/>
      </w:rPr>
    </w:lvl>
    <w:lvl w:ilvl="7" w:tplc="407C586A">
      <w:numFmt w:val="bullet"/>
      <w:lvlText w:val="•"/>
      <w:lvlJc w:val="left"/>
      <w:pPr>
        <w:ind w:left="5242" w:hanging="567"/>
      </w:pPr>
      <w:rPr>
        <w:rFonts w:hint="default"/>
      </w:rPr>
    </w:lvl>
    <w:lvl w:ilvl="8" w:tplc="5EC88F1C">
      <w:numFmt w:val="bullet"/>
      <w:lvlText w:val="•"/>
      <w:lvlJc w:val="left"/>
      <w:pPr>
        <w:ind w:left="5973" w:hanging="567"/>
      </w:pPr>
      <w:rPr>
        <w:rFonts w:hint="default"/>
      </w:rPr>
    </w:lvl>
  </w:abstractNum>
  <w:abstractNum w:abstractNumId="22" w15:restartNumberingAfterBreak="0">
    <w:nsid w:val="634F0C9B"/>
    <w:multiLevelType w:val="hybridMultilevel"/>
    <w:tmpl w:val="7FAED010"/>
    <w:lvl w:ilvl="0" w:tplc="7708108C">
      <w:start w:val="1"/>
      <w:numFmt w:val="decimal"/>
      <w:lvlText w:val="%1."/>
      <w:lvlJc w:val="left"/>
      <w:pPr>
        <w:ind w:left="110" w:hanging="568"/>
        <w:jc w:val="left"/>
      </w:pPr>
      <w:rPr>
        <w:rFonts w:ascii="Times New Roman" w:eastAsia="Times New Roman" w:hAnsi="Times New Roman" w:cs="Times New Roman" w:hint="default"/>
        <w:color w:val="131413"/>
        <w:spacing w:val="-23"/>
        <w:w w:val="98"/>
        <w:sz w:val="20"/>
        <w:szCs w:val="20"/>
      </w:rPr>
    </w:lvl>
    <w:lvl w:ilvl="1" w:tplc="1BE8F006">
      <w:numFmt w:val="bullet"/>
      <w:lvlText w:val="•"/>
      <w:lvlJc w:val="left"/>
      <w:pPr>
        <w:ind w:left="777" w:hanging="568"/>
      </w:pPr>
      <w:rPr>
        <w:rFonts w:hint="default"/>
      </w:rPr>
    </w:lvl>
    <w:lvl w:ilvl="2" w:tplc="A552D774">
      <w:numFmt w:val="bullet"/>
      <w:lvlText w:val="•"/>
      <w:lvlJc w:val="left"/>
      <w:pPr>
        <w:ind w:left="1435" w:hanging="568"/>
      </w:pPr>
      <w:rPr>
        <w:rFonts w:hint="default"/>
      </w:rPr>
    </w:lvl>
    <w:lvl w:ilvl="3" w:tplc="141A8B12">
      <w:numFmt w:val="bullet"/>
      <w:lvlText w:val="•"/>
      <w:lvlJc w:val="left"/>
      <w:pPr>
        <w:ind w:left="2093" w:hanging="568"/>
      </w:pPr>
      <w:rPr>
        <w:rFonts w:hint="default"/>
      </w:rPr>
    </w:lvl>
    <w:lvl w:ilvl="4" w:tplc="D0B08462">
      <w:numFmt w:val="bullet"/>
      <w:lvlText w:val="•"/>
      <w:lvlJc w:val="left"/>
      <w:pPr>
        <w:ind w:left="2750" w:hanging="568"/>
      </w:pPr>
      <w:rPr>
        <w:rFonts w:hint="default"/>
      </w:rPr>
    </w:lvl>
    <w:lvl w:ilvl="5" w:tplc="1D6865CA">
      <w:numFmt w:val="bullet"/>
      <w:lvlText w:val="•"/>
      <w:lvlJc w:val="left"/>
      <w:pPr>
        <w:ind w:left="3408" w:hanging="568"/>
      </w:pPr>
      <w:rPr>
        <w:rFonts w:hint="default"/>
      </w:rPr>
    </w:lvl>
    <w:lvl w:ilvl="6" w:tplc="5CFA3CD4">
      <w:numFmt w:val="bullet"/>
      <w:lvlText w:val="•"/>
      <w:lvlJc w:val="left"/>
      <w:pPr>
        <w:ind w:left="4066" w:hanging="568"/>
      </w:pPr>
      <w:rPr>
        <w:rFonts w:hint="default"/>
      </w:rPr>
    </w:lvl>
    <w:lvl w:ilvl="7" w:tplc="216C94BA">
      <w:numFmt w:val="bullet"/>
      <w:lvlText w:val="•"/>
      <w:lvlJc w:val="left"/>
      <w:pPr>
        <w:ind w:left="4724" w:hanging="568"/>
      </w:pPr>
      <w:rPr>
        <w:rFonts w:hint="default"/>
      </w:rPr>
    </w:lvl>
    <w:lvl w:ilvl="8" w:tplc="2C18F7FE">
      <w:numFmt w:val="bullet"/>
      <w:lvlText w:val="•"/>
      <w:lvlJc w:val="left"/>
      <w:pPr>
        <w:ind w:left="5381" w:hanging="568"/>
      </w:pPr>
      <w:rPr>
        <w:rFonts w:hint="default"/>
      </w:rPr>
    </w:lvl>
  </w:abstractNum>
  <w:abstractNum w:abstractNumId="23"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DB20E1B"/>
    <w:multiLevelType w:val="hybridMultilevel"/>
    <w:tmpl w:val="8EDCF982"/>
    <w:lvl w:ilvl="0" w:tplc="8F24EB76">
      <w:start w:val="1"/>
      <w:numFmt w:val="decimal"/>
      <w:lvlText w:val="%1."/>
      <w:lvlJc w:val="left"/>
      <w:pPr>
        <w:ind w:left="1257" w:hanging="567"/>
        <w:jc w:val="left"/>
      </w:pPr>
      <w:rPr>
        <w:rFonts w:ascii="Times New Roman" w:eastAsia="Times New Roman" w:hAnsi="Times New Roman" w:cs="Times New Roman" w:hint="default"/>
        <w:color w:val="131413"/>
        <w:spacing w:val="-23"/>
        <w:w w:val="99"/>
        <w:sz w:val="20"/>
        <w:szCs w:val="20"/>
      </w:rPr>
    </w:lvl>
    <w:lvl w:ilvl="1" w:tplc="CEF044B2">
      <w:numFmt w:val="bullet"/>
      <w:lvlText w:val="•"/>
      <w:lvlJc w:val="left"/>
      <w:pPr>
        <w:ind w:left="1877" w:hanging="567"/>
      </w:pPr>
      <w:rPr>
        <w:rFonts w:hint="default"/>
      </w:rPr>
    </w:lvl>
    <w:lvl w:ilvl="2" w:tplc="BE067E1A">
      <w:numFmt w:val="bullet"/>
      <w:lvlText w:val="•"/>
      <w:lvlJc w:val="left"/>
      <w:pPr>
        <w:ind w:left="2495" w:hanging="567"/>
      </w:pPr>
      <w:rPr>
        <w:rFonts w:hint="default"/>
      </w:rPr>
    </w:lvl>
    <w:lvl w:ilvl="3" w:tplc="0B6C7B30">
      <w:numFmt w:val="bullet"/>
      <w:lvlText w:val="•"/>
      <w:lvlJc w:val="left"/>
      <w:pPr>
        <w:ind w:left="3113" w:hanging="567"/>
      </w:pPr>
      <w:rPr>
        <w:rFonts w:hint="default"/>
      </w:rPr>
    </w:lvl>
    <w:lvl w:ilvl="4" w:tplc="478C46B0">
      <w:numFmt w:val="bullet"/>
      <w:lvlText w:val="•"/>
      <w:lvlJc w:val="left"/>
      <w:pPr>
        <w:ind w:left="3730" w:hanging="567"/>
      </w:pPr>
      <w:rPr>
        <w:rFonts w:hint="default"/>
      </w:rPr>
    </w:lvl>
    <w:lvl w:ilvl="5" w:tplc="21D2D566">
      <w:numFmt w:val="bullet"/>
      <w:lvlText w:val="•"/>
      <w:lvlJc w:val="left"/>
      <w:pPr>
        <w:ind w:left="4348" w:hanging="567"/>
      </w:pPr>
      <w:rPr>
        <w:rFonts w:hint="default"/>
      </w:rPr>
    </w:lvl>
    <w:lvl w:ilvl="6" w:tplc="56F68C08">
      <w:numFmt w:val="bullet"/>
      <w:lvlText w:val="•"/>
      <w:lvlJc w:val="left"/>
      <w:pPr>
        <w:ind w:left="4966" w:hanging="567"/>
      </w:pPr>
      <w:rPr>
        <w:rFonts w:hint="default"/>
      </w:rPr>
    </w:lvl>
    <w:lvl w:ilvl="7" w:tplc="A1CEC8BE">
      <w:numFmt w:val="bullet"/>
      <w:lvlText w:val="•"/>
      <w:lvlJc w:val="left"/>
      <w:pPr>
        <w:ind w:left="5584" w:hanging="567"/>
      </w:pPr>
      <w:rPr>
        <w:rFonts w:hint="default"/>
      </w:rPr>
    </w:lvl>
    <w:lvl w:ilvl="8" w:tplc="9AD44BAE">
      <w:numFmt w:val="bullet"/>
      <w:lvlText w:val="•"/>
      <w:lvlJc w:val="left"/>
      <w:pPr>
        <w:ind w:left="6201" w:hanging="567"/>
      </w:pPr>
      <w:rPr>
        <w:rFonts w:hint="default"/>
      </w:rPr>
    </w:lvl>
  </w:abstractNum>
  <w:abstractNum w:abstractNumId="25" w15:restartNumberingAfterBreak="0">
    <w:nsid w:val="70EA0C97"/>
    <w:multiLevelType w:val="hybridMultilevel"/>
    <w:tmpl w:val="61E87842"/>
    <w:lvl w:ilvl="0" w:tplc="04465F0C">
      <w:start w:val="2"/>
      <w:numFmt w:val="lowerLetter"/>
      <w:lvlText w:val="%1)"/>
      <w:lvlJc w:val="left"/>
      <w:pPr>
        <w:ind w:left="1258" w:hanging="567"/>
        <w:jc w:val="left"/>
      </w:pPr>
      <w:rPr>
        <w:rFonts w:ascii="Times New Roman" w:eastAsia="Times New Roman" w:hAnsi="Times New Roman" w:cs="Times New Roman" w:hint="default"/>
        <w:color w:val="131413"/>
        <w:spacing w:val="-8"/>
        <w:w w:val="97"/>
        <w:sz w:val="20"/>
        <w:szCs w:val="20"/>
      </w:rPr>
    </w:lvl>
    <w:lvl w:ilvl="1" w:tplc="CBD2DF1A">
      <w:numFmt w:val="bullet"/>
      <w:lvlText w:val="•"/>
      <w:lvlJc w:val="left"/>
      <w:pPr>
        <w:ind w:left="1877" w:hanging="567"/>
      </w:pPr>
      <w:rPr>
        <w:rFonts w:hint="default"/>
      </w:rPr>
    </w:lvl>
    <w:lvl w:ilvl="2" w:tplc="84A41A12">
      <w:numFmt w:val="bullet"/>
      <w:lvlText w:val="•"/>
      <w:lvlJc w:val="left"/>
      <w:pPr>
        <w:ind w:left="2495" w:hanging="567"/>
      </w:pPr>
      <w:rPr>
        <w:rFonts w:hint="default"/>
      </w:rPr>
    </w:lvl>
    <w:lvl w:ilvl="3" w:tplc="88DE522A">
      <w:numFmt w:val="bullet"/>
      <w:lvlText w:val="•"/>
      <w:lvlJc w:val="left"/>
      <w:pPr>
        <w:ind w:left="3113" w:hanging="567"/>
      </w:pPr>
      <w:rPr>
        <w:rFonts w:hint="default"/>
      </w:rPr>
    </w:lvl>
    <w:lvl w:ilvl="4" w:tplc="730AA700">
      <w:numFmt w:val="bullet"/>
      <w:lvlText w:val="•"/>
      <w:lvlJc w:val="left"/>
      <w:pPr>
        <w:ind w:left="3730" w:hanging="567"/>
      </w:pPr>
      <w:rPr>
        <w:rFonts w:hint="default"/>
      </w:rPr>
    </w:lvl>
    <w:lvl w:ilvl="5" w:tplc="3DAEB702">
      <w:numFmt w:val="bullet"/>
      <w:lvlText w:val="•"/>
      <w:lvlJc w:val="left"/>
      <w:pPr>
        <w:ind w:left="4348" w:hanging="567"/>
      </w:pPr>
      <w:rPr>
        <w:rFonts w:hint="default"/>
      </w:rPr>
    </w:lvl>
    <w:lvl w:ilvl="6" w:tplc="7C4019F4">
      <w:numFmt w:val="bullet"/>
      <w:lvlText w:val="•"/>
      <w:lvlJc w:val="left"/>
      <w:pPr>
        <w:ind w:left="4966" w:hanging="567"/>
      </w:pPr>
      <w:rPr>
        <w:rFonts w:hint="default"/>
      </w:rPr>
    </w:lvl>
    <w:lvl w:ilvl="7" w:tplc="00724DF6">
      <w:numFmt w:val="bullet"/>
      <w:lvlText w:val="•"/>
      <w:lvlJc w:val="left"/>
      <w:pPr>
        <w:ind w:left="5584" w:hanging="567"/>
      </w:pPr>
      <w:rPr>
        <w:rFonts w:hint="default"/>
      </w:rPr>
    </w:lvl>
    <w:lvl w:ilvl="8" w:tplc="55DEA68E">
      <w:numFmt w:val="bullet"/>
      <w:lvlText w:val="•"/>
      <w:lvlJc w:val="left"/>
      <w:pPr>
        <w:ind w:left="6201" w:hanging="567"/>
      </w:pPr>
      <w:rPr>
        <w:rFonts w:hint="default"/>
      </w:rPr>
    </w:lvl>
  </w:abstractNum>
  <w:abstractNum w:abstractNumId="26" w15:restartNumberingAfterBreak="0">
    <w:nsid w:val="7E043F12"/>
    <w:multiLevelType w:val="hybridMultilevel"/>
    <w:tmpl w:val="C8669232"/>
    <w:lvl w:ilvl="0" w:tplc="2632D1E4">
      <w:start w:val="1"/>
      <w:numFmt w:val="decimal"/>
      <w:lvlText w:val="%1."/>
      <w:lvlJc w:val="left"/>
      <w:pPr>
        <w:ind w:left="123" w:hanging="567"/>
        <w:jc w:val="left"/>
      </w:pPr>
      <w:rPr>
        <w:rFonts w:ascii="Times New Roman" w:eastAsia="Times New Roman" w:hAnsi="Times New Roman" w:cs="Times New Roman" w:hint="default"/>
        <w:color w:val="131413"/>
        <w:spacing w:val="-9"/>
        <w:w w:val="99"/>
        <w:sz w:val="20"/>
        <w:szCs w:val="20"/>
      </w:rPr>
    </w:lvl>
    <w:lvl w:ilvl="1" w:tplc="CCF46BC2">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79DED9AC">
      <w:numFmt w:val="bullet"/>
      <w:lvlText w:val="•"/>
      <w:lvlJc w:val="left"/>
      <w:pPr>
        <w:ind w:left="1946" w:hanging="567"/>
      </w:pPr>
      <w:rPr>
        <w:rFonts w:hint="default"/>
      </w:rPr>
    </w:lvl>
    <w:lvl w:ilvl="3" w:tplc="4A226892">
      <w:numFmt w:val="bullet"/>
      <w:lvlText w:val="•"/>
      <w:lvlJc w:val="left"/>
      <w:pPr>
        <w:ind w:left="2632" w:hanging="567"/>
      </w:pPr>
      <w:rPr>
        <w:rFonts w:hint="default"/>
      </w:rPr>
    </w:lvl>
    <w:lvl w:ilvl="4" w:tplc="3E7EF598">
      <w:numFmt w:val="bullet"/>
      <w:lvlText w:val="•"/>
      <w:lvlJc w:val="left"/>
      <w:pPr>
        <w:ind w:left="3319" w:hanging="567"/>
      </w:pPr>
      <w:rPr>
        <w:rFonts w:hint="default"/>
      </w:rPr>
    </w:lvl>
    <w:lvl w:ilvl="5" w:tplc="4A669502">
      <w:numFmt w:val="bullet"/>
      <w:lvlText w:val="•"/>
      <w:lvlJc w:val="left"/>
      <w:pPr>
        <w:ind w:left="4005" w:hanging="567"/>
      </w:pPr>
      <w:rPr>
        <w:rFonts w:hint="default"/>
      </w:rPr>
    </w:lvl>
    <w:lvl w:ilvl="6" w:tplc="1CF66286">
      <w:numFmt w:val="bullet"/>
      <w:lvlText w:val="•"/>
      <w:lvlJc w:val="left"/>
      <w:pPr>
        <w:ind w:left="4691" w:hanging="567"/>
      </w:pPr>
      <w:rPr>
        <w:rFonts w:hint="default"/>
      </w:rPr>
    </w:lvl>
    <w:lvl w:ilvl="7" w:tplc="2934FBAC">
      <w:numFmt w:val="bullet"/>
      <w:lvlText w:val="•"/>
      <w:lvlJc w:val="left"/>
      <w:pPr>
        <w:ind w:left="5378" w:hanging="567"/>
      </w:pPr>
      <w:rPr>
        <w:rFonts w:hint="default"/>
      </w:rPr>
    </w:lvl>
    <w:lvl w:ilvl="8" w:tplc="8A2EA436">
      <w:numFmt w:val="bullet"/>
      <w:lvlText w:val="•"/>
      <w:lvlJc w:val="left"/>
      <w:pPr>
        <w:ind w:left="6064" w:hanging="567"/>
      </w:pPr>
      <w:rPr>
        <w:rFonts w:hint="default"/>
      </w:rPr>
    </w:lvl>
  </w:abstractNum>
  <w:num w:numId="1">
    <w:abstractNumId w:val="19"/>
  </w:num>
  <w:num w:numId="2">
    <w:abstractNumId w:val="8"/>
  </w:num>
  <w:num w:numId="3">
    <w:abstractNumId w:val="3"/>
  </w:num>
  <w:num w:numId="4">
    <w:abstractNumId w:val="2"/>
  </w:num>
  <w:num w:numId="5">
    <w:abstractNumId w:val="1"/>
  </w:num>
  <w:num w:numId="6">
    <w:abstractNumId w:val="0"/>
  </w:num>
  <w:num w:numId="7">
    <w:abstractNumId w:val="17"/>
  </w:num>
  <w:num w:numId="8">
    <w:abstractNumId w:val="23"/>
  </w:num>
  <w:num w:numId="9">
    <w:abstractNumId w:val="26"/>
  </w:num>
  <w:num w:numId="10">
    <w:abstractNumId w:val="12"/>
  </w:num>
  <w:num w:numId="11">
    <w:abstractNumId w:val="14"/>
  </w:num>
  <w:num w:numId="12">
    <w:abstractNumId w:val="24"/>
  </w:num>
  <w:num w:numId="13">
    <w:abstractNumId w:val="20"/>
  </w:num>
  <w:num w:numId="14">
    <w:abstractNumId w:val="21"/>
  </w:num>
  <w:num w:numId="15">
    <w:abstractNumId w:val="16"/>
  </w:num>
  <w:num w:numId="16">
    <w:abstractNumId w:val="13"/>
  </w:num>
  <w:num w:numId="17">
    <w:abstractNumId w:val="25"/>
  </w:num>
  <w:num w:numId="18">
    <w:abstractNumId w:val="11"/>
  </w:num>
  <w:num w:numId="19">
    <w:abstractNumId w:val="22"/>
  </w:num>
  <w:num w:numId="20">
    <w:abstractNumId w:val="15"/>
  </w:num>
  <w:num w:numId="21">
    <w:abstractNumId w:val="9"/>
  </w:num>
  <w:num w:numId="22">
    <w:abstractNumId w:val="7"/>
  </w:num>
  <w:num w:numId="23">
    <w:abstractNumId w:val="6"/>
  </w:num>
  <w:num w:numId="24">
    <w:abstractNumId w:val="5"/>
  </w:num>
  <w:num w:numId="25">
    <w:abstractNumId w:val="4"/>
  </w:num>
  <w:num w:numId="26">
    <w:abstractNumId w:val="18"/>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358"/>
    <w:rsid w:val="000019AE"/>
    <w:rsid w:val="00047AAE"/>
    <w:rsid w:val="000C25C5"/>
    <w:rsid w:val="00114E69"/>
    <w:rsid w:val="00156DDA"/>
    <w:rsid w:val="00177847"/>
    <w:rsid w:val="002A5FBA"/>
    <w:rsid w:val="002B64A8"/>
    <w:rsid w:val="002B743F"/>
    <w:rsid w:val="002D75C1"/>
    <w:rsid w:val="00362369"/>
    <w:rsid w:val="003809C8"/>
    <w:rsid w:val="00394053"/>
    <w:rsid w:val="0041250B"/>
    <w:rsid w:val="00413858"/>
    <w:rsid w:val="00421F1F"/>
    <w:rsid w:val="00457CE7"/>
    <w:rsid w:val="004663EC"/>
    <w:rsid w:val="004C4A26"/>
    <w:rsid w:val="004D4995"/>
    <w:rsid w:val="004E4C15"/>
    <w:rsid w:val="004F046B"/>
    <w:rsid w:val="00503D18"/>
    <w:rsid w:val="00522F35"/>
    <w:rsid w:val="00634839"/>
    <w:rsid w:val="006B695A"/>
    <w:rsid w:val="006D573D"/>
    <w:rsid w:val="00727311"/>
    <w:rsid w:val="007B34DD"/>
    <w:rsid w:val="007F5358"/>
    <w:rsid w:val="008948CA"/>
    <w:rsid w:val="008A2BFC"/>
    <w:rsid w:val="008B4A95"/>
    <w:rsid w:val="008D12FD"/>
    <w:rsid w:val="009220D3"/>
    <w:rsid w:val="00940DEF"/>
    <w:rsid w:val="0094616E"/>
    <w:rsid w:val="009A68F8"/>
    <w:rsid w:val="009B7ED1"/>
    <w:rsid w:val="00A10038"/>
    <w:rsid w:val="00A536E0"/>
    <w:rsid w:val="00A62D1C"/>
    <w:rsid w:val="00A93F91"/>
    <w:rsid w:val="00B37AD7"/>
    <w:rsid w:val="00B813B4"/>
    <w:rsid w:val="00BA4C91"/>
    <w:rsid w:val="00C01B10"/>
    <w:rsid w:val="00CA2F87"/>
    <w:rsid w:val="00CF33A3"/>
    <w:rsid w:val="00D101D9"/>
    <w:rsid w:val="00D20CB5"/>
    <w:rsid w:val="00DB48BC"/>
    <w:rsid w:val="00DD55C8"/>
    <w:rsid w:val="00DE25F0"/>
    <w:rsid w:val="00EE5390"/>
    <w:rsid w:val="00EE5C48"/>
    <w:rsid w:val="00F62A9A"/>
    <w:rsid w:val="00F636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1A62CF0"/>
  <w15:chartTrackingRefBased/>
  <w15:docId w15:val="{65EDDC38-9B48-4C34-9328-DD1359390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43F"/>
    <w:pPr>
      <w:spacing w:after="0" w:line="240" w:lineRule="auto"/>
      <w:jc w:val="both"/>
    </w:pPr>
    <w:rPr>
      <w:rFonts w:ascii="Verdana" w:hAnsi="Verdana"/>
      <w:sz w:val="18"/>
      <w:lang w:val="en-GB"/>
    </w:rPr>
  </w:style>
  <w:style w:type="paragraph" w:styleId="Heading1">
    <w:name w:val="heading 1"/>
    <w:basedOn w:val="Normal"/>
    <w:next w:val="Heading2"/>
    <w:link w:val="Heading1Char"/>
    <w:uiPriority w:val="2"/>
    <w:qFormat/>
    <w:rsid w:val="002B743F"/>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2B743F"/>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2B743F"/>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2B743F"/>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2B743F"/>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2B743F"/>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2B743F"/>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2B743F"/>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2B743F"/>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2B743F"/>
    <w:rPr>
      <w:lang w:val="en-GB"/>
    </w:rPr>
  </w:style>
  <w:style w:type="paragraph" w:customStyle="1" w:styleId="Answer">
    <w:name w:val="Answer"/>
    <w:basedOn w:val="Normal"/>
    <w:link w:val="AnswerChar"/>
    <w:uiPriority w:val="6"/>
    <w:qFormat/>
    <w:rsid w:val="002B743F"/>
    <w:pPr>
      <w:spacing w:after="240"/>
      <w:ind w:left="1077"/>
    </w:pPr>
    <w:rPr>
      <w:rFonts w:eastAsia="Calibri" w:cs="Times New Roman"/>
    </w:rPr>
  </w:style>
  <w:style w:type="character" w:customStyle="1" w:styleId="AnswerCar">
    <w:name w:val="Answer Car"/>
    <w:uiPriority w:val="6"/>
    <w:rsid w:val="0041250B"/>
    <w:rPr>
      <w:rFonts w:ascii="Verdana" w:eastAsia="Calibri" w:hAnsi="Verdana" w:cs="Times New Roman"/>
      <w:sz w:val="18"/>
      <w:lang w:val="en-GB"/>
    </w:rPr>
  </w:style>
  <w:style w:type="paragraph" w:styleId="CommentText">
    <w:name w:val="annotation text"/>
    <w:basedOn w:val="Normal"/>
    <w:link w:val="CommentTextChar"/>
    <w:uiPriority w:val="99"/>
    <w:unhideWhenUsed/>
    <w:rsid w:val="002B743F"/>
    <w:rPr>
      <w:sz w:val="20"/>
      <w:szCs w:val="20"/>
    </w:rPr>
  </w:style>
  <w:style w:type="character" w:customStyle="1" w:styleId="CommentTextChar">
    <w:name w:val="Comment Text Char"/>
    <w:basedOn w:val="DefaultParagraphFont"/>
    <w:link w:val="CommentText"/>
    <w:uiPriority w:val="99"/>
    <w:rsid w:val="002B743F"/>
    <w:rPr>
      <w:rFonts w:ascii="Verdana" w:hAnsi="Verdana"/>
      <w:sz w:val="20"/>
      <w:szCs w:val="20"/>
      <w:lang w:val="en-GB"/>
    </w:rPr>
  </w:style>
  <w:style w:type="paragraph" w:styleId="CommentSubject">
    <w:name w:val="annotation subject"/>
    <w:basedOn w:val="CommentText"/>
    <w:next w:val="CommentText"/>
    <w:link w:val="CommentSubjectChar"/>
    <w:uiPriority w:val="99"/>
    <w:unhideWhenUsed/>
    <w:rsid w:val="002B743F"/>
    <w:rPr>
      <w:b/>
      <w:bCs/>
    </w:rPr>
  </w:style>
  <w:style w:type="character" w:customStyle="1" w:styleId="CommentSubjectChar">
    <w:name w:val="Comment Subject Char"/>
    <w:basedOn w:val="CommentTextChar"/>
    <w:link w:val="CommentSubject"/>
    <w:uiPriority w:val="99"/>
    <w:rsid w:val="002B743F"/>
    <w:rPr>
      <w:rFonts w:ascii="Verdana" w:hAnsi="Verdana"/>
      <w:b/>
      <w:bCs/>
      <w:sz w:val="20"/>
      <w:szCs w:val="20"/>
      <w:lang w:val="en-GB"/>
    </w:rPr>
  </w:style>
  <w:style w:type="paragraph" w:styleId="Bibliography">
    <w:name w:val="Bibliography"/>
    <w:basedOn w:val="Normal"/>
    <w:next w:val="Normal"/>
    <w:uiPriority w:val="49"/>
    <w:semiHidden/>
    <w:unhideWhenUsed/>
    <w:rsid w:val="002B743F"/>
  </w:style>
  <w:style w:type="paragraph" w:styleId="Closing">
    <w:name w:val="Closing"/>
    <w:basedOn w:val="Normal"/>
    <w:link w:val="ClosingChar"/>
    <w:uiPriority w:val="99"/>
    <w:semiHidden/>
    <w:unhideWhenUsed/>
    <w:rsid w:val="002B743F"/>
    <w:pPr>
      <w:ind w:left="4252"/>
    </w:pPr>
  </w:style>
  <w:style w:type="character" w:customStyle="1" w:styleId="ClosingChar">
    <w:name w:val="Closing Char"/>
    <w:basedOn w:val="DefaultParagraphFont"/>
    <w:link w:val="Closing"/>
    <w:uiPriority w:val="99"/>
    <w:semiHidden/>
    <w:rsid w:val="002B743F"/>
    <w:rPr>
      <w:rFonts w:ascii="Verdana" w:hAnsi="Verdana"/>
      <w:sz w:val="18"/>
      <w:lang w:val="en-GB"/>
    </w:rPr>
  </w:style>
  <w:style w:type="paragraph" w:styleId="Quote">
    <w:name w:val="Quote"/>
    <w:basedOn w:val="Normal"/>
    <w:next w:val="Normal"/>
    <w:link w:val="QuoteChar"/>
    <w:uiPriority w:val="59"/>
    <w:qFormat/>
    <w:rsid w:val="002B743F"/>
    <w:rPr>
      <w:i/>
      <w:iCs/>
      <w:color w:val="000000" w:themeColor="text1"/>
    </w:rPr>
  </w:style>
  <w:style w:type="character" w:customStyle="1" w:styleId="QuoteChar">
    <w:name w:val="Quote Char"/>
    <w:basedOn w:val="DefaultParagraphFont"/>
    <w:link w:val="Quote"/>
    <w:uiPriority w:val="59"/>
    <w:rsid w:val="002B743F"/>
    <w:rPr>
      <w:rFonts w:ascii="Verdana" w:hAnsi="Verdana"/>
      <w:i/>
      <w:iCs/>
      <w:color w:val="000000" w:themeColor="text1"/>
      <w:sz w:val="18"/>
      <w:lang w:val="en-GB"/>
    </w:rPr>
  </w:style>
  <w:style w:type="paragraph" w:styleId="IntenseQuote">
    <w:name w:val="Intense Quote"/>
    <w:basedOn w:val="Normal"/>
    <w:next w:val="Normal"/>
    <w:link w:val="IntenseQuoteChar"/>
    <w:uiPriority w:val="59"/>
    <w:qFormat/>
    <w:rsid w:val="002B743F"/>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2B743F"/>
    <w:rPr>
      <w:rFonts w:ascii="Verdana" w:hAnsi="Verdana"/>
      <w:b/>
      <w:bCs/>
      <w:i/>
      <w:iCs/>
      <w:color w:val="4472C4" w:themeColor="accent1"/>
      <w:sz w:val="18"/>
      <w:lang w:val="en-GB"/>
    </w:rPr>
  </w:style>
  <w:style w:type="character" w:styleId="HTMLCite">
    <w:name w:val="HTML Cite"/>
    <w:basedOn w:val="DefaultParagraphFont"/>
    <w:uiPriority w:val="99"/>
    <w:semiHidden/>
    <w:unhideWhenUsed/>
    <w:rsid w:val="002B743F"/>
    <w:rPr>
      <w:i/>
      <w:iCs/>
      <w:lang w:val="en-GB"/>
    </w:rPr>
  </w:style>
  <w:style w:type="character" w:styleId="HTMLCode">
    <w:name w:val="HTML Code"/>
    <w:basedOn w:val="DefaultParagraphFont"/>
    <w:uiPriority w:val="99"/>
    <w:semiHidden/>
    <w:unhideWhenUsed/>
    <w:rsid w:val="002B743F"/>
    <w:rPr>
      <w:rFonts w:ascii="Consolas" w:hAnsi="Consolas" w:cs="Consolas"/>
      <w:sz w:val="20"/>
      <w:szCs w:val="20"/>
      <w:lang w:val="en-GB"/>
    </w:rPr>
  </w:style>
  <w:style w:type="paragraph" w:styleId="ListContinue">
    <w:name w:val="List Continue"/>
    <w:basedOn w:val="Normal"/>
    <w:uiPriority w:val="99"/>
    <w:semiHidden/>
    <w:unhideWhenUsed/>
    <w:rsid w:val="002B743F"/>
    <w:pPr>
      <w:spacing w:after="120"/>
      <w:ind w:left="283"/>
      <w:contextualSpacing/>
    </w:pPr>
  </w:style>
  <w:style w:type="paragraph" w:styleId="ListContinue2">
    <w:name w:val="List Continue 2"/>
    <w:basedOn w:val="Normal"/>
    <w:uiPriority w:val="99"/>
    <w:semiHidden/>
    <w:unhideWhenUsed/>
    <w:rsid w:val="002B743F"/>
    <w:pPr>
      <w:spacing w:after="120"/>
      <w:ind w:left="566"/>
      <w:contextualSpacing/>
    </w:pPr>
  </w:style>
  <w:style w:type="paragraph" w:styleId="ListContinue3">
    <w:name w:val="List Continue 3"/>
    <w:basedOn w:val="Normal"/>
    <w:uiPriority w:val="99"/>
    <w:semiHidden/>
    <w:unhideWhenUsed/>
    <w:rsid w:val="002B743F"/>
    <w:pPr>
      <w:spacing w:after="120"/>
      <w:ind w:left="849"/>
      <w:contextualSpacing/>
    </w:pPr>
  </w:style>
  <w:style w:type="paragraph" w:styleId="ListContinue4">
    <w:name w:val="List Continue 4"/>
    <w:basedOn w:val="Normal"/>
    <w:uiPriority w:val="99"/>
    <w:semiHidden/>
    <w:unhideWhenUsed/>
    <w:rsid w:val="002B743F"/>
    <w:pPr>
      <w:spacing w:after="120"/>
      <w:ind w:left="1132"/>
      <w:contextualSpacing/>
    </w:pPr>
  </w:style>
  <w:style w:type="paragraph" w:styleId="ListContinue5">
    <w:name w:val="List Continue 5"/>
    <w:basedOn w:val="Normal"/>
    <w:uiPriority w:val="99"/>
    <w:semiHidden/>
    <w:unhideWhenUsed/>
    <w:rsid w:val="002B743F"/>
    <w:pPr>
      <w:spacing w:after="120"/>
      <w:ind w:left="1415"/>
      <w:contextualSpacing/>
    </w:pPr>
  </w:style>
  <w:style w:type="character" w:styleId="HTMLDefinition">
    <w:name w:val="HTML Definition"/>
    <w:basedOn w:val="DefaultParagraphFont"/>
    <w:uiPriority w:val="99"/>
    <w:semiHidden/>
    <w:unhideWhenUsed/>
    <w:rsid w:val="002B743F"/>
    <w:rPr>
      <w:i/>
      <w:iCs/>
      <w:lang w:val="en-GB"/>
    </w:rPr>
  </w:style>
  <w:style w:type="paragraph" w:styleId="Caption">
    <w:name w:val="caption"/>
    <w:basedOn w:val="Normal"/>
    <w:next w:val="Normal"/>
    <w:uiPriority w:val="6"/>
    <w:qFormat/>
    <w:rsid w:val="002B743F"/>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2B743F"/>
    <w:rPr>
      <w:i/>
      <w:iCs/>
    </w:rPr>
  </w:style>
  <w:style w:type="character" w:customStyle="1" w:styleId="HTMLAddressChar">
    <w:name w:val="HTML Address Char"/>
    <w:basedOn w:val="DefaultParagraphFont"/>
    <w:link w:val="HTMLAddress"/>
    <w:uiPriority w:val="99"/>
    <w:semiHidden/>
    <w:rsid w:val="002B743F"/>
    <w:rPr>
      <w:rFonts w:ascii="Verdana" w:hAnsi="Verdana"/>
      <w:i/>
      <w:iCs/>
      <w:sz w:val="18"/>
      <w:lang w:val="en-GB"/>
    </w:rPr>
  </w:style>
  <w:style w:type="paragraph" w:styleId="EnvelopeAddress">
    <w:name w:val="envelope address"/>
    <w:basedOn w:val="Normal"/>
    <w:uiPriority w:val="99"/>
    <w:semiHidden/>
    <w:unhideWhenUsed/>
    <w:rsid w:val="002B743F"/>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2B743F"/>
    <w:rPr>
      <w:rFonts w:ascii="Consolas" w:hAnsi="Consolas" w:cs="Consolas"/>
      <w:sz w:val="24"/>
      <w:szCs w:val="24"/>
      <w:lang w:val="en-GB"/>
    </w:rPr>
  </w:style>
  <w:style w:type="paragraph" w:styleId="Header">
    <w:name w:val="header"/>
    <w:basedOn w:val="Normal"/>
    <w:link w:val="HeaderChar"/>
    <w:uiPriority w:val="3"/>
    <w:rsid w:val="002B743F"/>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2B743F"/>
    <w:rPr>
      <w:rFonts w:ascii="Verdana" w:eastAsia="Calibri" w:hAnsi="Verdana" w:cs="Times New Roman"/>
      <w:sz w:val="18"/>
      <w:szCs w:val="18"/>
      <w:lang w:val="en-GB" w:eastAsia="en-GB"/>
    </w:rPr>
  </w:style>
  <w:style w:type="paragraph" w:styleId="TOAHeading">
    <w:name w:val="toa heading"/>
    <w:basedOn w:val="Normal"/>
    <w:next w:val="Normal"/>
    <w:uiPriority w:val="39"/>
    <w:unhideWhenUsed/>
    <w:rsid w:val="002B743F"/>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2B743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743F"/>
    <w:rPr>
      <w:rFonts w:asciiTheme="majorHAnsi" w:eastAsiaTheme="majorEastAsia" w:hAnsiTheme="majorHAnsi" w:cstheme="majorBidi"/>
      <w:sz w:val="24"/>
      <w:szCs w:val="24"/>
      <w:shd w:val="pct20" w:color="auto" w:fill="auto"/>
      <w:lang w:val="en-GB"/>
    </w:rPr>
  </w:style>
  <w:style w:type="paragraph" w:styleId="NoteHeading">
    <w:name w:val="Note Heading"/>
    <w:basedOn w:val="Normal"/>
    <w:next w:val="Normal"/>
    <w:link w:val="NoteHeadingChar"/>
    <w:uiPriority w:val="99"/>
    <w:semiHidden/>
    <w:unhideWhenUsed/>
    <w:rsid w:val="002B743F"/>
  </w:style>
  <w:style w:type="character" w:customStyle="1" w:styleId="NoteHeadingChar">
    <w:name w:val="Note Heading Char"/>
    <w:basedOn w:val="DefaultParagraphFont"/>
    <w:link w:val="NoteHeading"/>
    <w:uiPriority w:val="99"/>
    <w:semiHidden/>
    <w:rsid w:val="002B743F"/>
    <w:rPr>
      <w:rFonts w:ascii="Verdana" w:hAnsi="Verdana"/>
      <w:sz w:val="18"/>
      <w:lang w:val="en-GB"/>
    </w:rPr>
  </w:style>
  <w:style w:type="character" w:styleId="Emphasis">
    <w:name w:val="Emphasis"/>
    <w:basedOn w:val="DefaultParagraphFont"/>
    <w:uiPriority w:val="99"/>
    <w:qFormat/>
    <w:rsid w:val="002B743F"/>
    <w:rPr>
      <w:i/>
      <w:iCs/>
      <w:lang w:val="en-GB"/>
    </w:rPr>
  </w:style>
  <w:style w:type="character" w:styleId="IntenseEmphasis">
    <w:name w:val="Intense Emphasis"/>
    <w:basedOn w:val="DefaultParagraphFont"/>
    <w:uiPriority w:val="99"/>
    <w:qFormat/>
    <w:rsid w:val="002B743F"/>
    <w:rPr>
      <w:b/>
      <w:bCs/>
      <w:i/>
      <w:iCs/>
      <w:color w:val="4472C4" w:themeColor="accent1"/>
      <w:lang w:val="en-GB"/>
    </w:rPr>
  </w:style>
  <w:style w:type="character" w:styleId="SubtleEmphasis">
    <w:name w:val="Subtle Emphasis"/>
    <w:basedOn w:val="DefaultParagraphFont"/>
    <w:uiPriority w:val="99"/>
    <w:qFormat/>
    <w:rsid w:val="002B743F"/>
    <w:rPr>
      <w:i/>
      <w:iCs/>
      <w:color w:val="808080" w:themeColor="text1" w:themeTint="7F"/>
      <w:lang w:val="en-GB"/>
    </w:rPr>
  </w:style>
  <w:style w:type="paragraph" w:styleId="Date">
    <w:name w:val="Date"/>
    <w:basedOn w:val="Normal"/>
    <w:next w:val="Normal"/>
    <w:link w:val="DateChar"/>
    <w:uiPriority w:val="99"/>
    <w:semiHidden/>
    <w:unhideWhenUsed/>
    <w:rsid w:val="002B743F"/>
  </w:style>
  <w:style w:type="character" w:customStyle="1" w:styleId="DateChar">
    <w:name w:val="Date Char"/>
    <w:basedOn w:val="DefaultParagraphFont"/>
    <w:link w:val="Date"/>
    <w:uiPriority w:val="99"/>
    <w:semiHidden/>
    <w:rsid w:val="002B743F"/>
    <w:rPr>
      <w:rFonts w:ascii="Verdana" w:hAnsi="Verdana"/>
      <w:sz w:val="18"/>
      <w:lang w:val="en-GB"/>
    </w:rPr>
  </w:style>
  <w:style w:type="paragraph" w:styleId="Signature">
    <w:name w:val="Signature"/>
    <w:basedOn w:val="Normal"/>
    <w:link w:val="SignatureChar"/>
    <w:uiPriority w:val="99"/>
    <w:semiHidden/>
    <w:unhideWhenUsed/>
    <w:rsid w:val="002B743F"/>
    <w:pPr>
      <w:ind w:left="4252"/>
    </w:pPr>
  </w:style>
  <w:style w:type="character" w:customStyle="1" w:styleId="SignatureChar">
    <w:name w:val="Signature Char"/>
    <w:basedOn w:val="DefaultParagraphFont"/>
    <w:link w:val="Signature"/>
    <w:uiPriority w:val="99"/>
    <w:semiHidden/>
    <w:rsid w:val="002B743F"/>
    <w:rPr>
      <w:rFonts w:ascii="Verdana" w:hAnsi="Verdana"/>
      <w:sz w:val="18"/>
      <w:lang w:val="en-GB"/>
    </w:rPr>
  </w:style>
  <w:style w:type="paragraph" w:styleId="E-mailSignature">
    <w:name w:val="E-mail Signature"/>
    <w:basedOn w:val="Normal"/>
    <w:link w:val="E-mailSignatureChar"/>
    <w:uiPriority w:val="99"/>
    <w:semiHidden/>
    <w:unhideWhenUsed/>
    <w:rsid w:val="002B743F"/>
  </w:style>
  <w:style w:type="character" w:customStyle="1" w:styleId="E-mailSignatureChar">
    <w:name w:val="E-mail Signature Char"/>
    <w:basedOn w:val="DefaultParagraphFont"/>
    <w:link w:val="E-mailSignature"/>
    <w:uiPriority w:val="99"/>
    <w:semiHidden/>
    <w:rsid w:val="002B743F"/>
    <w:rPr>
      <w:rFonts w:ascii="Verdana" w:hAnsi="Verdana"/>
      <w:sz w:val="18"/>
      <w:lang w:val="en-GB"/>
    </w:rPr>
  </w:style>
  <w:style w:type="paragraph" w:customStyle="1" w:styleId="FollowUp">
    <w:name w:val="FollowUp"/>
    <w:basedOn w:val="Normal"/>
    <w:link w:val="FollowUpChar"/>
    <w:uiPriority w:val="6"/>
    <w:qFormat/>
    <w:rsid w:val="002B743F"/>
    <w:pPr>
      <w:spacing w:after="240"/>
      <w:ind w:left="720"/>
    </w:pPr>
    <w:rPr>
      <w:rFonts w:eastAsia="Calibri" w:cs="Times New Roman"/>
      <w:i/>
    </w:rPr>
  </w:style>
  <w:style w:type="character" w:customStyle="1" w:styleId="FollowUpCar">
    <w:name w:val="FollowUp Car"/>
    <w:uiPriority w:val="6"/>
    <w:rsid w:val="0041250B"/>
    <w:rPr>
      <w:rFonts w:ascii="Verdana" w:eastAsia="Calibri" w:hAnsi="Verdana" w:cs="Times New Roman"/>
      <w:i/>
      <w:sz w:val="18"/>
      <w:lang w:val="en-GB"/>
    </w:rPr>
  </w:style>
  <w:style w:type="paragraph" w:styleId="FootnoteText">
    <w:name w:val="footnote text"/>
    <w:basedOn w:val="Normal"/>
    <w:link w:val="FootnoteTextChar"/>
    <w:uiPriority w:val="5"/>
    <w:rsid w:val="002B743F"/>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2B743F"/>
    <w:rPr>
      <w:rFonts w:ascii="Verdana" w:eastAsia="Calibri" w:hAnsi="Verdana" w:cs="Times New Roman"/>
      <w:sz w:val="16"/>
      <w:szCs w:val="18"/>
      <w:lang w:val="en-GB" w:eastAsia="en-GB"/>
    </w:rPr>
  </w:style>
  <w:style w:type="paragraph" w:customStyle="1" w:styleId="FootnoteQuotation">
    <w:name w:val="Footnote Quotation"/>
    <w:basedOn w:val="FootnoteText"/>
    <w:uiPriority w:val="5"/>
    <w:rsid w:val="002B743F"/>
    <w:pPr>
      <w:ind w:left="567" w:right="567" w:firstLine="0"/>
    </w:pPr>
  </w:style>
  <w:style w:type="character" w:styleId="Hyperlink">
    <w:name w:val="Hyperlink"/>
    <w:basedOn w:val="DefaultParagraphFont"/>
    <w:uiPriority w:val="9"/>
    <w:unhideWhenUsed/>
    <w:rsid w:val="002B743F"/>
    <w:rPr>
      <w:color w:val="0563C1" w:themeColor="hyperlink"/>
      <w:u w:val="single"/>
      <w:lang w:val="en-GB"/>
    </w:rPr>
  </w:style>
  <w:style w:type="character" w:styleId="FollowedHyperlink">
    <w:name w:val="FollowedHyperlink"/>
    <w:basedOn w:val="DefaultParagraphFont"/>
    <w:uiPriority w:val="9"/>
    <w:unhideWhenUsed/>
    <w:rsid w:val="002B743F"/>
    <w:rPr>
      <w:color w:val="954F72" w:themeColor="followedHyperlink"/>
      <w:u w:val="single"/>
      <w:lang w:val="en-GB"/>
    </w:rPr>
  </w:style>
  <w:style w:type="paragraph" w:styleId="HTMLPreformatted">
    <w:name w:val="HTML Preformatted"/>
    <w:basedOn w:val="Normal"/>
    <w:link w:val="HTMLPreformattedChar"/>
    <w:uiPriority w:val="99"/>
    <w:semiHidden/>
    <w:unhideWhenUsed/>
    <w:rsid w:val="002B743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B743F"/>
    <w:rPr>
      <w:rFonts w:ascii="Consolas" w:hAnsi="Consolas" w:cs="Consolas"/>
      <w:sz w:val="20"/>
      <w:szCs w:val="20"/>
      <w:lang w:val="en-GB"/>
    </w:rPr>
  </w:style>
  <w:style w:type="paragraph" w:styleId="Index1">
    <w:name w:val="index 1"/>
    <w:basedOn w:val="Normal"/>
    <w:next w:val="Normal"/>
    <w:uiPriority w:val="99"/>
    <w:semiHidden/>
    <w:unhideWhenUsed/>
    <w:rsid w:val="002B743F"/>
    <w:pPr>
      <w:ind w:left="180" w:hanging="180"/>
    </w:pPr>
  </w:style>
  <w:style w:type="paragraph" w:styleId="Index2">
    <w:name w:val="index 2"/>
    <w:basedOn w:val="Normal"/>
    <w:next w:val="Normal"/>
    <w:uiPriority w:val="99"/>
    <w:semiHidden/>
    <w:unhideWhenUsed/>
    <w:rsid w:val="002B743F"/>
    <w:pPr>
      <w:ind w:left="360" w:hanging="180"/>
    </w:pPr>
  </w:style>
  <w:style w:type="paragraph" w:styleId="Index3">
    <w:name w:val="index 3"/>
    <w:basedOn w:val="Normal"/>
    <w:next w:val="Normal"/>
    <w:uiPriority w:val="99"/>
    <w:semiHidden/>
    <w:unhideWhenUsed/>
    <w:rsid w:val="002B743F"/>
    <w:pPr>
      <w:ind w:left="540" w:hanging="180"/>
    </w:pPr>
  </w:style>
  <w:style w:type="paragraph" w:styleId="Index4">
    <w:name w:val="index 4"/>
    <w:basedOn w:val="Normal"/>
    <w:next w:val="Normal"/>
    <w:uiPriority w:val="99"/>
    <w:semiHidden/>
    <w:unhideWhenUsed/>
    <w:rsid w:val="002B743F"/>
    <w:pPr>
      <w:ind w:left="720" w:hanging="180"/>
    </w:pPr>
  </w:style>
  <w:style w:type="paragraph" w:styleId="Index5">
    <w:name w:val="index 5"/>
    <w:basedOn w:val="Normal"/>
    <w:next w:val="Normal"/>
    <w:uiPriority w:val="99"/>
    <w:semiHidden/>
    <w:unhideWhenUsed/>
    <w:rsid w:val="002B743F"/>
    <w:pPr>
      <w:ind w:left="900" w:hanging="180"/>
    </w:pPr>
  </w:style>
  <w:style w:type="paragraph" w:styleId="Index6">
    <w:name w:val="index 6"/>
    <w:basedOn w:val="Normal"/>
    <w:next w:val="Normal"/>
    <w:uiPriority w:val="99"/>
    <w:semiHidden/>
    <w:unhideWhenUsed/>
    <w:rsid w:val="002B743F"/>
    <w:pPr>
      <w:ind w:left="1080" w:hanging="180"/>
    </w:pPr>
  </w:style>
  <w:style w:type="paragraph" w:styleId="Index7">
    <w:name w:val="index 7"/>
    <w:basedOn w:val="Normal"/>
    <w:next w:val="Normal"/>
    <w:uiPriority w:val="99"/>
    <w:semiHidden/>
    <w:unhideWhenUsed/>
    <w:rsid w:val="002B743F"/>
    <w:pPr>
      <w:ind w:left="1260" w:hanging="180"/>
    </w:pPr>
  </w:style>
  <w:style w:type="paragraph" w:styleId="Index8">
    <w:name w:val="index 8"/>
    <w:basedOn w:val="Normal"/>
    <w:next w:val="Normal"/>
    <w:uiPriority w:val="99"/>
    <w:semiHidden/>
    <w:unhideWhenUsed/>
    <w:rsid w:val="002B743F"/>
    <w:pPr>
      <w:ind w:left="1440" w:hanging="180"/>
    </w:pPr>
  </w:style>
  <w:style w:type="paragraph" w:styleId="Index9">
    <w:name w:val="index 9"/>
    <w:basedOn w:val="Normal"/>
    <w:next w:val="Normal"/>
    <w:uiPriority w:val="99"/>
    <w:semiHidden/>
    <w:unhideWhenUsed/>
    <w:rsid w:val="002B743F"/>
    <w:pPr>
      <w:ind w:left="1620" w:hanging="180"/>
    </w:pPr>
  </w:style>
  <w:style w:type="numbering" w:customStyle="1" w:styleId="LegalHeadings">
    <w:name w:val="LegalHeadings"/>
    <w:uiPriority w:val="99"/>
    <w:rsid w:val="002B743F"/>
    <w:pPr>
      <w:numPr>
        <w:numId w:val="1"/>
      </w:numPr>
    </w:pPr>
  </w:style>
  <w:style w:type="paragraph" w:styleId="List">
    <w:name w:val="List"/>
    <w:basedOn w:val="Normal"/>
    <w:uiPriority w:val="99"/>
    <w:semiHidden/>
    <w:unhideWhenUsed/>
    <w:rsid w:val="002B743F"/>
    <w:pPr>
      <w:ind w:left="283" w:hanging="283"/>
      <w:contextualSpacing/>
    </w:pPr>
  </w:style>
  <w:style w:type="paragraph" w:styleId="List2">
    <w:name w:val="List 2"/>
    <w:basedOn w:val="Normal"/>
    <w:uiPriority w:val="99"/>
    <w:semiHidden/>
    <w:unhideWhenUsed/>
    <w:rsid w:val="002B743F"/>
    <w:pPr>
      <w:ind w:left="566" w:hanging="283"/>
      <w:contextualSpacing/>
    </w:pPr>
  </w:style>
  <w:style w:type="paragraph" w:styleId="List3">
    <w:name w:val="List 3"/>
    <w:basedOn w:val="Normal"/>
    <w:uiPriority w:val="99"/>
    <w:semiHidden/>
    <w:unhideWhenUsed/>
    <w:rsid w:val="002B743F"/>
    <w:pPr>
      <w:ind w:left="849" w:hanging="283"/>
      <w:contextualSpacing/>
    </w:pPr>
  </w:style>
  <w:style w:type="paragraph" w:styleId="List4">
    <w:name w:val="List 4"/>
    <w:basedOn w:val="Normal"/>
    <w:uiPriority w:val="99"/>
    <w:semiHidden/>
    <w:unhideWhenUsed/>
    <w:rsid w:val="002B743F"/>
    <w:pPr>
      <w:ind w:left="1132" w:hanging="283"/>
      <w:contextualSpacing/>
    </w:pPr>
  </w:style>
  <w:style w:type="paragraph" w:styleId="List5">
    <w:name w:val="List 5"/>
    <w:basedOn w:val="Normal"/>
    <w:uiPriority w:val="99"/>
    <w:semiHidden/>
    <w:unhideWhenUsed/>
    <w:rsid w:val="002B743F"/>
    <w:pPr>
      <w:ind w:left="1415" w:hanging="283"/>
      <w:contextualSpacing/>
    </w:pPr>
  </w:style>
  <w:style w:type="paragraph" w:styleId="ListNumber">
    <w:name w:val="List Number"/>
    <w:basedOn w:val="Normal"/>
    <w:uiPriority w:val="49"/>
    <w:semiHidden/>
    <w:unhideWhenUsed/>
    <w:rsid w:val="002B743F"/>
    <w:pPr>
      <w:numPr>
        <w:numId w:val="2"/>
      </w:numPr>
      <w:contextualSpacing/>
    </w:pPr>
  </w:style>
  <w:style w:type="paragraph" w:styleId="ListNumber2">
    <w:name w:val="List Number 2"/>
    <w:basedOn w:val="Normal"/>
    <w:uiPriority w:val="49"/>
    <w:semiHidden/>
    <w:unhideWhenUsed/>
    <w:rsid w:val="002B743F"/>
    <w:pPr>
      <w:numPr>
        <w:numId w:val="3"/>
      </w:numPr>
      <w:contextualSpacing/>
    </w:pPr>
  </w:style>
  <w:style w:type="paragraph" w:styleId="ListNumber3">
    <w:name w:val="List Number 3"/>
    <w:basedOn w:val="Normal"/>
    <w:uiPriority w:val="49"/>
    <w:semiHidden/>
    <w:unhideWhenUsed/>
    <w:rsid w:val="002B743F"/>
    <w:pPr>
      <w:contextualSpacing/>
    </w:pPr>
  </w:style>
  <w:style w:type="paragraph" w:styleId="ListNumber4">
    <w:name w:val="List Number 4"/>
    <w:basedOn w:val="Normal"/>
    <w:uiPriority w:val="49"/>
    <w:semiHidden/>
    <w:unhideWhenUsed/>
    <w:rsid w:val="002B743F"/>
    <w:pPr>
      <w:numPr>
        <w:numId w:val="5"/>
      </w:numPr>
      <w:contextualSpacing/>
    </w:pPr>
  </w:style>
  <w:style w:type="paragraph" w:styleId="ListNumber5">
    <w:name w:val="List Number 5"/>
    <w:basedOn w:val="Normal"/>
    <w:uiPriority w:val="49"/>
    <w:semiHidden/>
    <w:unhideWhenUsed/>
    <w:rsid w:val="002B743F"/>
    <w:pPr>
      <w:contextualSpacing/>
    </w:pPr>
  </w:style>
  <w:style w:type="paragraph" w:styleId="ListBullet">
    <w:name w:val="List Bullet"/>
    <w:basedOn w:val="Normal"/>
    <w:uiPriority w:val="1"/>
    <w:rsid w:val="002B743F"/>
    <w:pPr>
      <w:numPr>
        <w:numId w:val="6"/>
      </w:numPr>
      <w:tabs>
        <w:tab w:val="left" w:pos="567"/>
      </w:tabs>
      <w:spacing w:after="240"/>
      <w:contextualSpacing/>
    </w:pPr>
  </w:style>
  <w:style w:type="paragraph" w:styleId="ListBullet2">
    <w:name w:val="List Bullet 2"/>
    <w:basedOn w:val="Normal"/>
    <w:uiPriority w:val="1"/>
    <w:rsid w:val="002B743F"/>
    <w:pPr>
      <w:numPr>
        <w:ilvl w:val="1"/>
        <w:numId w:val="6"/>
      </w:numPr>
      <w:tabs>
        <w:tab w:val="left" w:pos="907"/>
      </w:tabs>
      <w:spacing w:after="240"/>
      <w:contextualSpacing/>
    </w:pPr>
  </w:style>
  <w:style w:type="paragraph" w:styleId="ListBullet3">
    <w:name w:val="List Bullet 3"/>
    <w:basedOn w:val="Normal"/>
    <w:uiPriority w:val="1"/>
    <w:rsid w:val="002B743F"/>
    <w:pPr>
      <w:numPr>
        <w:ilvl w:val="2"/>
        <w:numId w:val="6"/>
      </w:numPr>
      <w:tabs>
        <w:tab w:val="left" w:pos="1247"/>
      </w:tabs>
      <w:spacing w:after="240"/>
      <w:contextualSpacing/>
    </w:pPr>
  </w:style>
  <w:style w:type="paragraph" w:styleId="ListBullet4">
    <w:name w:val="List Bullet 4"/>
    <w:basedOn w:val="Normal"/>
    <w:uiPriority w:val="1"/>
    <w:rsid w:val="002B743F"/>
    <w:pPr>
      <w:numPr>
        <w:ilvl w:val="3"/>
        <w:numId w:val="6"/>
      </w:numPr>
      <w:tabs>
        <w:tab w:val="clear" w:pos="1587"/>
        <w:tab w:val="left" w:pos="1588"/>
      </w:tabs>
      <w:spacing w:after="240"/>
      <w:contextualSpacing/>
    </w:pPr>
  </w:style>
  <w:style w:type="paragraph" w:styleId="ListBullet5">
    <w:name w:val="List Bullet 5"/>
    <w:basedOn w:val="Normal"/>
    <w:uiPriority w:val="1"/>
    <w:rsid w:val="002B743F"/>
    <w:pPr>
      <w:numPr>
        <w:ilvl w:val="4"/>
        <w:numId w:val="6"/>
      </w:numPr>
      <w:tabs>
        <w:tab w:val="left" w:pos="1928"/>
      </w:tabs>
      <w:spacing w:after="240"/>
      <w:contextualSpacing/>
    </w:pPr>
  </w:style>
  <w:style w:type="numbering" w:customStyle="1" w:styleId="ListBullets">
    <w:name w:val="ListBullets"/>
    <w:uiPriority w:val="99"/>
    <w:rsid w:val="002B743F"/>
    <w:pPr>
      <w:numPr>
        <w:numId w:val="7"/>
      </w:numPr>
    </w:pPr>
  </w:style>
  <w:style w:type="paragraph" w:styleId="DocumentMap">
    <w:name w:val="Document Map"/>
    <w:basedOn w:val="Normal"/>
    <w:link w:val="DocumentMapChar"/>
    <w:uiPriority w:val="99"/>
    <w:semiHidden/>
    <w:unhideWhenUsed/>
    <w:rsid w:val="002B743F"/>
    <w:rPr>
      <w:rFonts w:ascii="Tahoma" w:hAnsi="Tahoma" w:cs="Tahoma"/>
      <w:sz w:val="16"/>
      <w:szCs w:val="16"/>
    </w:rPr>
  </w:style>
  <w:style w:type="character" w:customStyle="1" w:styleId="DocumentMapChar">
    <w:name w:val="Document Map Char"/>
    <w:basedOn w:val="DefaultParagraphFont"/>
    <w:link w:val="DocumentMap"/>
    <w:uiPriority w:val="99"/>
    <w:semiHidden/>
    <w:rsid w:val="002B743F"/>
    <w:rPr>
      <w:rFonts w:ascii="Tahoma" w:hAnsi="Tahoma" w:cs="Tahoma"/>
      <w:sz w:val="16"/>
      <w:szCs w:val="16"/>
      <w:lang w:val="en-GB"/>
    </w:rPr>
  </w:style>
  <w:style w:type="character" w:styleId="HTMLTypewriter">
    <w:name w:val="HTML Typewriter"/>
    <w:basedOn w:val="DefaultParagraphFont"/>
    <w:uiPriority w:val="99"/>
    <w:semiHidden/>
    <w:unhideWhenUsed/>
    <w:rsid w:val="002B743F"/>
    <w:rPr>
      <w:rFonts w:ascii="Consolas" w:hAnsi="Consolas" w:cs="Consolas"/>
      <w:sz w:val="20"/>
      <w:szCs w:val="20"/>
      <w:lang w:val="en-GB"/>
    </w:rPr>
  </w:style>
  <w:style w:type="paragraph" w:styleId="NormalWeb">
    <w:name w:val="Normal (Web)"/>
    <w:basedOn w:val="Normal"/>
    <w:uiPriority w:val="99"/>
    <w:semiHidden/>
    <w:unhideWhenUsed/>
    <w:rsid w:val="002B743F"/>
    <w:rPr>
      <w:rFonts w:ascii="Times New Roman" w:hAnsi="Times New Roman" w:cs="Times New Roman"/>
      <w:sz w:val="24"/>
      <w:szCs w:val="24"/>
    </w:rPr>
  </w:style>
  <w:style w:type="paragraph" w:customStyle="1" w:styleId="NoteText">
    <w:name w:val="Note Text"/>
    <w:basedOn w:val="Normal"/>
    <w:uiPriority w:val="4"/>
    <w:qFormat/>
    <w:rsid w:val="002B743F"/>
    <w:pPr>
      <w:tabs>
        <w:tab w:val="left" w:pos="851"/>
      </w:tabs>
      <w:ind w:left="851" w:hanging="851"/>
      <w:jc w:val="left"/>
    </w:pPr>
    <w:rPr>
      <w:sz w:val="16"/>
    </w:rPr>
  </w:style>
  <w:style w:type="character" w:styleId="LineNumber">
    <w:name w:val="line number"/>
    <w:basedOn w:val="DefaultParagraphFont"/>
    <w:uiPriority w:val="99"/>
    <w:semiHidden/>
    <w:unhideWhenUsed/>
    <w:rsid w:val="002B743F"/>
    <w:rPr>
      <w:lang w:val="en-GB"/>
    </w:rPr>
  </w:style>
  <w:style w:type="character" w:styleId="PageNumber">
    <w:name w:val="page number"/>
    <w:basedOn w:val="DefaultParagraphFont"/>
    <w:uiPriority w:val="99"/>
    <w:semiHidden/>
    <w:unhideWhenUsed/>
    <w:rsid w:val="002B743F"/>
    <w:rPr>
      <w:lang w:val="en-GB"/>
    </w:rPr>
  </w:style>
  <w:style w:type="paragraph" w:styleId="ListParagraph">
    <w:name w:val="List Paragraph"/>
    <w:basedOn w:val="Normal"/>
    <w:uiPriority w:val="59"/>
    <w:qFormat/>
    <w:rsid w:val="002B743F"/>
    <w:pPr>
      <w:ind w:left="720"/>
      <w:contextualSpacing/>
    </w:pPr>
  </w:style>
  <w:style w:type="paragraph" w:styleId="Footer">
    <w:name w:val="footer"/>
    <w:basedOn w:val="Normal"/>
    <w:link w:val="FooterChar"/>
    <w:uiPriority w:val="3"/>
    <w:rsid w:val="002B743F"/>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2B743F"/>
    <w:rPr>
      <w:rFonts w:ascii="Verdana" w:eastAsia="Calibri" w:hAnsi="Verdana" w:cs="Times New Roman"/>
      <w:sz w:val="18"/>
      <w:szCs w:val="18"/>
      <w:lang w:val="en-GB" w:eastAsia="en-GB"/>
    </w:rPr>
  </w:style>
  <w:style w:type="paragraph" w:customStyle="1" w:styleId="Quotation">
    <w:name w:val="Quotation"/>
    <w:basedOn w:val="Normal"/>
    <w:uiPriority w:val="5"/>
    <w:qFormat/>
    <w:rsid w:val="002B743F"/>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2B743F"/>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2B743F"/>
    <w:rPr>
      <w:sz w:val="16"/>
      <w:szCs w:val="16"/>
      <w:lang w:val="en-GB"/>
    </w:rPr>
  </w:style>
  <w:style w:type="character" w:styleId="EndnoteReference">
    <w:name w:val="endnote reference"/>
    <w:uiPriority w:val="49"/>
    <w:rsid w:val="002B743F"/>
    <w:rPr>
      <w:vertAlign w:val="superscript"/>
      <w:lang w:val="en-GB"/>
    </w:rPr>
  </w:style>
  <w:style w:type="character" w:styleId="FootnoteReference">
    <w:name w:val="footnote reference"/>
    <w:uiPriority w:val="5"/>
    <w:rsid w:val="002B743F"/>
    <w:rPr>
      <w:vertAlign w:val="superscript"/>
      <w:lang w:val="en-GB"/>
    </w:rPr>
  </w:style>
  <w:style w:type="character" w:styleId="IntenseReference">
    <w:name w:val="Intense Reference"/>
    <w:basedOn w:val="DefaultParagraphFont"/>
    <w:uiPriority w:val="99"/>
    <w:qFormat/>
    <w:rsid w:val="002B743F"/>
    <w:rPr>
      <w:b/>
      <w:bCs/>
      <w:smallCaps/>
      <w:color w:val="ED7D31" w:themeColor="accent2"/>
      <w:spacing w:val="5"/>
      <w:u w:val="single"/>
      <w:lang w:val="en-GB"/>
    </w:rPr>
  </w:style>
  <w:style w:type="character" w:styleId="SubtleReference">
    <w:name w:val="Subtle Reference"/>
    <w:basedOn w:val="DefaultParagraphFont"/>
    <w:uiPriority w:val="99"/>
    <w:qFormat/>
    <w:rsid w:val="002B743F"/>
    <w:rPr>
      <w:smallCaps/>
      <w:color w:val="ED7D31" w:themeColor="accent2"/>
      <w:u w:val="single"/>
      <w:lang w:val="en-GB"/>
    </w:rPr>
  </w:style>
  <w:style w:type="paragraph" w:styleId="EnvelopeReturn">
    <w:name w:val="envelope return"/>
    <w:basedOn w:val="Normal"/>
    <w:uiPriority w:val="99"/>
    <w:semiHidden/>
    <w:unhideWhenUsed/>
    <w:rsid w:val="002B743F"/>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2B743F"/>
  </w:style>
  <w:style w:type="character" w:customStyle="1" w:styleId="SalutationChar">
    <w:name w:val="Salutation Char"/>
    <w:basedOn w:val="DefaultParagraphFont"/>
    <w:link w:val="Salutation"/>
    <w:uiPriority w:val="99"/>
    <w:semiHidden/>
    <w:rsid w:val="002B743F"/>
    <w:rPr>
      <w:rFonts w:ascii="Verdana" w:hAnsi="Verdana"/>
      <w:sz w:val="18"/>
      <w:lang w:val="en-GB"/>
    </w:rPr>
  </w:style>
  <w:style w:type="paragraph" w:styleId="BodyTextIndent2">
    <w:name w:val="Body Text Indent 2"/>
    <w:basedOn w:val="Normal"/>
    <w:link w:val="BodyTextIndent2Char"/>
    <w:uiPriority w:val="99"/>
    <w:semiHidden/>
    <w:unhideWhenUsed/>
    <w:rsid w:val="002B743F"/>
    <w:pPr>
      <w:spacing w:after="120" w:line="480" w:lineRule="auto"/>
      <w:ind w:left="283"/>
    </w:pPr>
  </w:style>
  <w:style w:type="character" w:customStyle="1" w:styleId="BodyTextIndent2Char">
    <w:name w:val="Body Text Indent 2 Char"/>
    <w:basedOn w:val="DefaultParagraphFont"/>
    <w:link w:val="BodyTextIndent2"/>
    <w:uiPriority w:val="99"/>
    <w:semiHidden/>
    <w:rsid w:val="002B743F"/>
    <w:rPr>
      <w:rFonts w:ascii="Verdana" w:hAnsi="Verdana"/>
      <w:sz w:val="18"/>
      <w:lang w:val="en-GB"/>
    </w:rPr>
  </w:style>
  <w:style w:type="paragraph" w:styleId="BodyTextIndent3">
    <w:name w:val="Body Text Indent 3"/>
    <w:basedOn w:val="Normal"/>
    <w:link w:val="BodyTextIndent3Char"/>
    <w:uiPriority w:val="99"/>
    <w:semiHidden/>
    <w:unhideWhenUsed/>
    <w:rsid w:val="002B743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B743F"/>
    <w:rPr>
      <w:rFonts w:ascii="Verdana" w:hAnsi="Verdana"/>
      <w:sz w:val="16"/>
      <w:szCs w:val="16"/>
      <w:lang w:val="en-GB"/>
    </w:rPr>
  </w:style>
  <w:style w:type="paragraph" w:styleId="BodyTextIndent">
    <w:name w:val="Body Text Indent"/>
    <w:basedOn w:val="Normal"/>
    <w:link w:val="BodyTextIndentChar"/>
    <w:uiPriority w:val="99"/>
    <w:semiHidden/>
    <w:unhideWhenUsed/>
    <w:rsid w:val="002B743F"/>
    <w:pPr>
      <w:spacing w:after="120"/>
      <w:ind w:left="283"/>
    </w:pPr>
  </w:style>
  <w:style w:type="character" w:customStyle="1" w:styleId="BodyTextIndentChar">
    <w:name w:val="Body Text Indent Char"/>
    <w:basedOn w:val="DefaultParagraphFont"/>
    <w:link w:val="BodyTextIndent"/>
    <w:uiPriority w:val="99"/>
    <w:semiHidden/>
    <w:rsid w:val="002B743F"/>
    <w:rPr>
      <w:rFonts w:ascii="Verdana" w:hAnsi="Verdana"/>
      <w:sz w:val="18"/>
      <w:lang w:val="en-GB"/>
    </w:rPr>
  </w:style>
  <w:style w:type="paragraph" w:styleId="NormalIndent">
    <w:name w:val="Normal Indent"/>
    <w:basedOn w:val="Normal"/>
    <w:uiPriority w:val="99"/>
    <w:semiHidden/>
    <w:unhideWhenUsed/>
    <w:rsid w:val="002B743F"/>
    <w:pPr>
      <w:ind w:left="567"/>
    </w:pPr>
  </w:style>
  <w:style w:type="paragraph" w:styleId="NoSpacing">
    <w:name w:val="No Spacing"/>
    <w:uiPriority w:val="1"/>
    <w:qFormat/>
    <w:rsid w:val="002B743F"/>
    <w:pPr>
      <w:spacing w:after="0" w:line="240" w:lineRule="auto"/>
      <w:jc w:val="both"/>
    </w:pPr>
    <w:rPr>
      <w:rFonts w:ascii="Verdana" w:hAnsi="Verdana"/>
      <w:sz w:val="18"/>
      <w:lang w:val="en-GB"/>
    </w:rPr>
  </w:style>
  <w:style w:type="paragraph" w:styleId="Subtitle">
    <w:name w:val="Subtitle"/>
    <w:basedOn w:val="Normal"/>
    <w:next w:val="Normal"/>
    <w:link w:val="SubtitleChar"/>
    <w:uiPriority w:val="6"/>
    <w:qFormat/>
    <w:rsid w:val="002B743F"/>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2B743F"/>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2B743F"/>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2B743F"/>
    <w:pPr>
      <w:spacing w:after="240"/>
      <w:outlineLvl w:val="1"/>
    </w:pPr>
    <w:rPr>
      <w:b/>
      <w:color w:val="006283"/>
    </w:rPr>
  </w:style>
  <w:style w:type="paragraph" w:customStyle="1" w:styleId="SummaryText">
    <w:name w:val="SummaryText"/>
    <w:basedOn w:val="Normal"/>
    <w:uiPriority w:val="4"/>
    <w:qFormat/>
    <w:rsid w:val="002B743F"/>
    <w:pPr>
      <w:numPr>
        <w:numId w:val="8"/>
      </w:numPr>
      <w:spacing w:after="240"/>
      <w:ind w:left="0" w:firstLine="0"/>
    </w:pPr>
    <w:rPr>
      <w:rFonts w:eastAsia="Calibri" w:cs="Times New Roman"/>
    </w:rPr>
  </w:style>
  <w:style w:type="table" w:styleId="TableGrid">
    <w:name w:val="Table Grid"/>
    <w:basedOn w:val="TableNormal"/>
    <w:uiPriority w:val="59"/>
    <w:rsid w:val="002B743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2B743F"/>
    <w:pPr>
      <w:tabs>
        <w:tab w:val="left" w:pos="0"/>
        <w:tab w:val="right" w:leader="dot" w:pos="9020"/>
      </w:tabs>
      <w:spacing w:before="120" w:after="120"/>
      <w:ind w:right="720"/>
    </w:pPr>
    <w:rPr>
      <w:rFonts w:eastAsia="Times New Roman" w:cs="Times New Roman"/>
      <w:szCs w:val="20"/>
      <w:lang w:eastAsia="en-GB"/>
    </w:rPr>
  </w:style>
  <w:style w:type="paragraph" w:styleId="TOC1">
    <w:name w:val="toc 1"/>
    <w:basedOn w:val="Normal"/>
    <w:next w:val="Normal"/>
    <w:uiPriority w:val="39"/>
    <w:rsid w:val="002B743F"/>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2B743F"/>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2B743F"/>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2B743F"/>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2B743F"/>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2B743F"/>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2B743F"/>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2B743F"/>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2B743F"/>
    <w:pPr>
      <w:tabs>
        <w:tab w:val="left" w:pos="0"/>
        <w:tab w:val="right" w:leader="dot" w:pos="9020"/>
      </w:tabs>
      <w:spacing w:before="120" w:after="120"/>
      <w:ind w:right="851"/>
      <w:jc w:val="left"/>
    </w:pPr>
    <w:rPr>
      <w:rFonts w:eastAsia="Calibri" w:cs="Times New Roman"/>
      <w:szCs w:val="18"/>
      <w:lang w:eastAsia="en-GB"/>
    </w:rPr>
  </w:style>
  <w:style w:type="character" w:styleId="HTMLKeyboard">
    <w:name w:val="HTML Keyboard"/>
    <w:basedOn w:val="DefaultParagraphFont"/>
    <w:uiPriority w:val="99"/>
    <w:semiHidden/>
    <w:unhideWhenUsed/>
    <w:rsid w:val="002B743F"/>
    <w:rPr>
      <w:rFonts w:ascii="Consolas" w:hAnsi="Consolas" w:cs="Consolas"/>
      <w:sz w:val="20"/>
      <w:szCs w:val="20"/>
      <w:lang w:val="en-GB"/>
    </w:rPr>
  </w:style>
  <w:style w:type="paragraph" w:styleId="TableofAuthorities">
    <w:name w:val="table of authorities"/>
    <w:basedOn w:val="Normal"/>
    <w:next w:val="Normal"/>
    <w:uiPriority w:val="39"/>
    <w:rsid w:val="002B743F"/>
    <w:pPr>
      <w:tabs>
        <w:tab w:val="left" w:pos="0"/>
        <w:tab w:val="right" w:leader="dot" w:pos="9020"/>
      </w:tabs>
      <w:spacing w:before="120" w:after="120"/>
      <w:ind w:right="720"/>
    </w:pPr>
    <w:rPr>
      <w:rFonts w:eastAsia="Times New Roman" w:cs="Times New Roman"/>
      <w:szCs w:val="20"/>
      <w:lang w:eastAsia="en-GB"/>
    </w:rPr>
  </w:style>
  <w:style w:type="paragraph" w:styleId="BlockText">
    <w:name w:val="Block Text"/>
    <w:basedOn w:val="Normal"/>
    <w:uiPriority w:val="99"/>
    <w:semiHidden/>
    <w:unhideWhenUsed/>
    <w:rsid w:val="002B743F"/>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2B743F"/>
    <w:rPr>
      <w:rFonts w:ascii="Tahoma" w:hAnsi="Tahoma" w:cs="Tahoma"/>
      <w:sz w:val="16"/>
      <w:szCs w:val="16"/>
    </w:rPr>
  </w:style>
  <w:style w:type="character" w:customStyle="1" w:styleId="BalloonTextChar">
    <w:name w:val="Balloon Text Char"/>
    <w:basedOn w:val="DefaultParagraphFont"/>
    <w:link w:val="BalloonText"/>
    <w:uiPriority w:val="99"/>
    <w:semiHidden/>
    <w:rsid w:val="002B743F"/>
    <w:rPr>
      <w:rFonts w:ascii="Tahoma" w:hAnsi="Tahoma" w:cs="Tahoma"/>
      <w:sz w:val="16"/>
      <w:szCs w:val="16"/>
      <w:lang w:val="en-GB"/>
    </w:rPr>
  </w:style>
  <w:style w:type="character" w:styleId="PlaceholderText">
    <w:name w:val="Placeholder Text"/>
    <w:basedOn w:val="DefaultParagraphFont"/>
    <w:uiPriority w:val="99"/>
    <w:semiHidden/>
    <w:rsid w:val="002B743F"/>
    <w:rPr>
      <w:color w:val="808080"/>
      <w:lang w:val="en-GB"/>
    </w:rPr>
  </w:style>
  <w:style w:type="character" w:styleId="Strong">
    <w:name w:val="Strong"/>
    <w:basedOn w:val="DefaultParagraphFont"/>
    <w:uiPriority w:val="99"/>
    <w:qFormat/>
    <w:rsid w:val="002B743F"/>
    <w:rPr>
      <w:b/>
      <w:bCs/>
      <w:lang w:val="en-GB"/>
    </w:rPr>
  </w:style>
  <w:style w:type="paragraph" w:styleId="BodyText">
    <w:name w:val="Body Text"/>
    <w:basedOn w:val="Normal"/>
    <w:link w:val="BodyTextChar"/>
    <w:uiPriority w:val="1"/>
    <w:qFormat/>
    <w:rsid w:val="002B743F"/>
    <w:pPr>
      <w:numPr>
        <w:ilvl w:val="6"/>
        <w:numId w:val="4"/>
      </w:numPr>
      <w:spacing w:after="240"/>
    </w:pPr>
  </w:style>
  <w:style w:type="character" w:customStyle="1" w:styleId="BodyTextChar">
    <w:name w:val="Body Text Char"/>
    <w:basedOn w:val="DefaultParagraphFont"/>
    <w:link w:val="BodyText"/>
    <w:uiPriority w:val="1"/>
    <w:rsid w:val="002B743F"/>
    <w:rPr>
      <w:rFonts w:ascii="Verdana" w:hAnsi="Verdana"/>
      <w:sz w:val="18"/>
      <w:lang w:val="en-GB"/>
    </w:rPr>
  </w:style>
  <w:style w:type="paragraph" w:styleId="BodyText2">
    <w:name w:val="Body Text 2"/>
    <w:basedOn w:val="Normal"/>
    <w:link w:val="BodyText2Char"/>
    <w:uiPriority w:val="1"/>
    <w:qFormat/>
    <w:rsid w:val="002B743F"/>
    <w:pPr>
      <w:numPr>
        <w:ilvl w:val="7"/>
        <w:numId w:val="4"/>
      </w:numPr>
      <w:spacing w:after="240"/>
    </w:pPr>
  </w:style>
  <w:style w:type="character" w:customStyle="1" w:styleId="BodyText2Char">
    <w:name w:val="Body Text 2 Char"/>
    <w:basedOn w:val="DefaultParagraphFont"/>
    <w:link w:val="BodyText2"/>
    <w:uiPriority w:val="1"/>
    <w:rsid w:val="002B743F"/>
    <w:rPr>
      <w:rFonts w:ascii="Verdana" w:hAnsi="Verdana"/>
      <w:sz w:val="18"/>
      <w:lang w:val="en-GB"/>
    </w:rPr>
  </w:style>
  <w:style w:type="paragraph" w:styleId="BodyText3">
    <w:name w:val="Body Text 3"/>
    <w:basedOn w:val="Normal"/>
    <w:link w:val="BodyText3Char"/>
    <w:uiPriority w:val="1"/>
    <w:qFormat/>
    <w:rsid w:val="002B743F"/>
    <w:pPr>
      <w:numPr>
        <w:ilvl w:val="8"/>
        <w:numId w:val="4"/>
      </w:numPr>
      <w:spacing w:after="240"/>
    </w:pPr>
    <w:rPr>
      <w:szCs w:val="16"/>
    </w:rPr>
  </w:style>
  <w:style w:type="character" w:customStyle="1" w:styleId="BodyText3Char">
    <w:name w:val="Body Text 3 Char"/>
    <w:basedOn w:val="DefaultParagraphFont"/>
    <w:link w:val="BodyText3"/>
    <w:uiPriority w:val="1"/>
    <w:rsid w:val="002B743F"/>
    <w:rPr>
      <w:rFonts w:ascii="Verdana" w:hAnsi="Verdana"/>
      <w:sz w:val="18"/>
      <w:szCs w:val="16"/>
      <w:lang w:val="en-GB"/>
    </w:rPr>
  </w:style>
  <w:style w:type="paragraph" w:styleId="BodyTextFirstIndent">
    <w:name w:val="Body Text First Indent"/>
    <w:basedOn w:val="BodyText"/>
    <w:link w:val="BodyTextFirstIndentChar"/>
    <w:uiPriority w:val="99"/>
    <w:semiHidden/>
    <w:unhideWhenUsed/>
    <w:rsid w:val="002B743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2B743F"/>
    <w:rPr>
      <w:rFonts w:ascii="Verdana" w:hAnsi="Verdana"/>
      <w:sz w:val="18"/>
      <w:lang w:val="en-GB"/>
    </w:rPr>
  </w:style>
  <w:style w:type="paragraph" w:styleId="BodyTextFirstIndent2">
    <w:name w:val="Body Text First Indent 2"/>
    <w:basedOn w:val="BodyTextIndent"/>
    <w:link w:val="BodyTextFirstIndent2Char"/>
    <w:uiPriority w:val="99"/>
    <w:semiHidden/>
    <w:unhideWhenUsed/>
    <w:rsid w:val="002B743F"/>
    <w:pPr>
      <w:spacing w:after="0"/>
      <w:ind w:left="360" w:firstLine="360"/>
    </w:pPr>
  </w:style>
  <w:style w:type="character" w:customStyle="1" w:styleId="BodyTextFirstIndent2Char">
    <w:name w:val="Body Text First Indent 2 Char"/>
    <w:basedOn w:val="BodyTextIndentChar"/>
    <w:link w:val="BodyTextFirstIndent2"/>
    <w:uiPriority w:val="99"/>
    <w:semiHidden/>
    <w:rsid w:val="002B743F"/>
    <w:rPr>
      <w:rFonts w:ascii="Verdana" w:hAnsi="Verdana"/>
      <w:sz w:val="18"/>
      <w:lang w:val="en-GB"/>
    </w:rPr>
  </w:style>
  <w:style w:type="paragraph" w:styleId="MacroText">
    <w:name w:val="macro"/>
    <w:link w:val="MacroTextChar"/>
    <w:uiPriority w:val="99"/>
    <w:semiHidden/>
    <w:unhideWhenUsed/>
    <w:rsid w:val="002B743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lang w:val="en-GB"/>
    </w:rPr>
  </w:style>
  <w:style w:type="character" w:customStyle="1" w:styleId="MacroTextChar">
    <w:name w:val="Macro Text Char"/>
    <w:basedOn w:val="DefaultParagraphFont"/>
    <w:link w:val="MacroText"/>
    <w:uiPriority w:val="99"/>
    <w:semiHidden/>
    <w:rsid w:val="002B743F"/>
    <w:rPr>
      <w:rFonts w:ascii="Consolas" w:hAnsi="Consolas" w:cs="Consolas"/>
      <w:sz w:val="20"/>
      <w:szCs w:val="20"/>
      <w:lang w:val="en-GB"/>
    </w:rPr>
  </w:style>
  <w:style w:type="paragraph" w:styleId="EndnoteText">
    <w:name w:val="endnote text"/>
    <w:basedOn w:val="FootnoteText"/>
    <w:link w:val="EndnoteTextChar"/>
    <w:uiPriority w:val="49"/>
    <w:rsid w:val="002B743F"/>
    <w:rPr>
      <w:szCs w:val="20"/>
    </w:rPr>
  </w:style>
  <w:style w:type="character" w:customStyle="1" w:styleId="EndnoteTextChar">
    <w:name w:val="Endnote Text Char"/>
    <w:link w:val="EndnoteText"/>
    <w:uiPriority w:val="49"/>
    <w:rsid w:val="002B743F"/>
    <w:rPr>
      <w:rFonts w:ascii="Verdana" w:eastAsia="Calibri" w:hAnsi="Verdana" w:cs="Times New Roman"/>
      <w:sz w:val="16"/>
      <w:szCs w:val="20"/>
      <w:lang w:val="en-GB" w:eastAsia="en-GB"/>
    </w:rPr>
  </w:style>
  <w:style w:type="paragraph" w:styleId="PlainText">
    <w:name w:val="Plain Text"/>
    <w:basedOn w:val="Normal"/>
    <w:link w:val="PlainTextChar"/>
    <w:uiPriority w:val="99"/>
    <w:unhideWhenUsed/>
    <w:rsid w:val="002B743F"/>
    <w:rPr>
      <w:rFonts w:ascii="Consolas" w:hAnsi="Consolas" w:cs="Consolas"/>
      <w:sz w:val="21"/>
      <w:szCs w:val="21"/>
    </w:rPr>
  </w:style>
  <w:style w:type="character" w:customStyle="1" w:styleId="PlainTextChar">
    <w:name w:val="Plain Text Char"/>
    <w:basedOn w:val="DefaultParagraphFont"/>
    <w:link w:val="PlainText"/>
    <w:uiPriority w:val="99"/>
    <w:rsid w:val="002B743F"/>
    <w:rPr>
      <w:rFonts w:ascii="Consolas" w:hAnsi="Consolas" w:cs="Consolas"/>
      <w:sz w:val="21"/>
      <w:szCs w:val="21"/>
      <w:lang w:val="en-GB"/>
    </w:rPr>
  </w:style>
  <w:style w:type="paragraph" w:customStyle="1" w:styleId="Title2">
    <w:name w:val="Title 2"/>
    <w:basedOn w:val="Normal"/>
    <w:next w:val="Normal"/>
    <w:uiPriority w:val="5"/>
    <w:qFormat/>
    <w:rsid w:val="002B743F"/>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2B743F"/>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2B743F"/>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2B743F"/>
    <w:pPr>
      <w:spacing w:after="240"/>
      <w:jc w:val="center"/>
    </w:pPr>
    <w:rPr>
      <w:rFonts w:eastAsia="Calibri" w:cs="Times New Roman"/>
      <w:color w:val="006283"/>
    </w:rPr>
  </w:style>
  <w:style w:type="paragraph" w:customStyle="1" w:styleId="TitlePublication">
    <w:name w:val="Title Publication"/>
    <w:basedOn w:val="Normal"/>
    <w:uiPriority w:val="49"/>
    <w:qFormat/>
    <w:rsid w:val="002B743F"/>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2B743F"/>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2B743F"/>
    <w:rPr>
      <w:rFonts w:ascii="Verdana" w:eastAsiaTheme="majorEastAsia" w:hAnsi="Verdana" w:cstheme="majorBidi"/>
      <w:b/>
      <w:caps/>
      <w:color w:val="006283"/>
      <w:kern w:val="28"/>
      <w:sz w:val="18"/>
      <w:szCs w:val="52"/>
      <w:lang w:val="en-GB"/>
    </w:rPr>
  </w:style>
  <w:style w:type="character" w:customStyle="1" w:styleId="Heading1Char">
    <w:name w:val="Heading 1 Char"/>
    <w:basedOn w:val="DefaultParagraphFont"/>
    <w:link w:val="Heading1"/>
    <w:uiPriority w:val="2"/>
    <w:rsid w:val="002B743F"/>
    <w:rPr>
      <w:rFonts w:ascii="Verdana" w:eastAsiaTheme="majorEastAsia" w:hAnsi="Verdana" w:cstheme="majorBidi"/>
      <w:b/>
      <w:bCs/>
      <w:caps/>
      <w:color w:val="006283"/>
      <w:sz w:val="18"/>
      <w:szCs w:val="28"/>
      <w:lang w:val="en-GB"/>
    </w:rPr>
  </w:style>
  <w:style w:type="character" w:customStyle="1" w:styleId="Heading2Char">
    <w:name w:val="Heading 2 Char"/>
    <w:basedOn w:val="DefaultParagraphFont"/>
    <w:link w:val="Heading2"/>
    <w:uiPriority w:val="2"/>
    <w:rsid w:val="002B743F"/>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2B743F"/>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2B743F"/>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2B743F"/>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2B743F"/>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2B743F"/>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2B743F"/>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2B743F"/>
    <w:rPr>
      <w:rFonts w:ascii="Verdana" w:eastAsiaTheme="majorEastAsia" w:hAnsi="Verdana" w:cstheme="majorBidi"/>
      <w:b/>
      <w:iCs/>
      <w:color w:val="006283"/>
      <w:sz w:val="18"/>
      <w:szCs w:val="20"/>
      <w:u w:val="single"/>
      <w:lang w:val="en-GB"/>
    </w:rPr>
  </w:style>
  <w:style w:type="paragraph" w:styleId="IndexHeading">
    <w:name w:val="index heading"/>
    <w:basedOn w:val="Normal"/>
    <w:next w:val="Index1"/>
    <w:uiPriority w:val="99"/>
    <w:semiHidden/>
    <w:unhideWhenUsed/>
    <w:rsid w:val="002B743F"/>
    <w:rPr>
      <w:rFonts w:asciiTheme="majorHAnsi" w:eastAsiaTheme="majorEastAsia" w:hAnsiTheme="majorHAnsi" w:cstheme="majorBidi"/>
      <w:b/>
      <w:bCs/>
    </w:rPr>
  </w:style>
  <w:style w:type="character" w:styleId="BookTitle">
    <w:name w:val="Book Title"/>
    <w:basedOn w:val="DefaultParagraphFont"/>
    <w:uiPriority w:val="99"/>
    <w:qFormat/>
    <w:rsid w:val="002B743F"/>
    <w:rPr>
      <w:b/>
      <w:bCs/>
      <w:smallCaps/>
      <w:spacing w:val="5"/>
      <w:lang w:val="en-GB"/>
    </w:rPr>
  </w:style>
  <w:style w:type="paragraph" w:styleId="TOCHeading">
    <w:name w:val="TOC Heading"/>
    <w:basedOn w:val="Normal"/>
    <w:next w:val="Normal"/>
    <w:uiPriority w:val="39"/>
    <w:qFormat/>
    <w:rsid w:val="002B743F"/>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2B743F"/>
    <w:rPr>
      <w:i/>
      <w:iCs/>
      <w:lang w:val="en-GB"/>
    </w:rPr>
  </w:style>
  <w:style w:type="table" w:customStyle="1" w:styleId="WTOBox1">
    <w:name w:val="WTOBox1"/>
    <w:basedOn w:val="TableNormal"/>
    <w:uiPriority w:val="99"/>
    <w:rsid w:val="002B743F"/>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B743F"/>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2B743F"/>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7F5358"/>
    <w:pPr>
      <w:spacing w:before="31"/>
      <w:ind w:left="108"/>
    </w:pPr>
  </w:style>
  <w:style w:type="table" w:styleId="LightGrid">
    <w:name w:val="Light Grid"/>
    <w:basedOn w:val="TableNormal"/>
    <w:uiPriority w:val="62"/>
    <w:semiHidden/>
    <w:unhideWhenUsed/>
    <w:rsid w:val="002B74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74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743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743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743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743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743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TableGrid2">
    <w:name w:val="Table Grid 2"/>
    <w:basedOn w:val="TableNormal"/>
    <w:uiPriority w:val="99"/>
    <w:semiHidden/>
    <w:unhideWhenUsed/>
    <w:rsid w:val="002B743F"/>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743F"/>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743F"/>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ediumGrid1">
    <w:name w:val="Medium Grid 1"/>
    <w:basedOn w:val="TableNormal"/>
    <w:uiPriority w:val="67"/>
    <w:semiHidden/>
    <w:unhideWhenUsed/>
    <w:rsid w:val="002B74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743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743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743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743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743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743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74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74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74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74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74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74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74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ColorfulGrid">
    <w:name w:val="Colorful Grid"/>
    <w:basedOn w:val="TableNormal"/>
    <w:uiPriority w:val="73"/>
    <w:semiHidden/>
    <w:unhideWhenUsed/>
    <w:rsid w:val="002B74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74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74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74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74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74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74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Hashtag">
    <w:name w:val="Hashtag"/>
    <w:basedOn w:val="DefaultParagraphFont"/>
    <w:uiPriority w:val="99"/>
    <w:semiHidden/>
    <w:unhideWhenUsed/>
    <w:rsid w:val="002B743F"/>
    <w:rPr>
      <w:color w:val="2B579A"/>
      <w:shd w:val="clear" w:color="auto" w:fill="E1DFDD"/>
      <w:lang w:val="en-GB"/>
    </w:rPr>
  </w:style>
  <w:style w:type="character" w:styleId="SmartHyperlink">
    <w:name w:val="Smart Hyperlink"/>
    <w:basedOn w:val="DefaultParagraphFont"/>
    <w:uiPriority w:val="99"/>
    <w:semiHidden/>
    <w:unhideWhenUsed/>
    <w:rsid w:val="002B743F"/>
    <w:rPr>
      <w:u w:val="dotted"/>
      <w:lang w:val="en-GB"/>
    </w:rPr>
  </w:style>
  <w:style w:type="table" w:styleId="LightList">
    <w:name w:val="Light List"/>
    <w:basedOn w:val="TableNormal"/>
    <w:uiPriority w:val="61"/>
    <w:semiHidden/>
    <w:unhideWhenUsed/>
    <w:rsid w:val="002B74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74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743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743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743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743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743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MediumList1">
    <w:name w:val="Medium List 1"/>
    <w:basedOn w:val="TableNormal"/>
    <w:uiPriority w:val="65"/>
    <w:semiHidden/>
    <w:unhideWhenUsed/>
    <w:rsid w:val="002B743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743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743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743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743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743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743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74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
    <w:name w:val="Dark List"/>
    <w:basedOn w:val="TableNormal"/>
    <w:uiPriority w:val="70"/>
    <w:semiHidden/>
    <w:unhideWhenUsed/>
    <w:rsid w:val="002B743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743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743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743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743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743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743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List">
    <w:name w:val="Colorful List"/>
    <w:basedOn w:val="TableNormal"/>
    <w:uiPriority w:val="72"/>
    <w:semiHidden/>
    <w:unhideWhenUsed/>
    <w:rsid w:val="002B743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743F"/>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743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743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743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743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743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character" w:styleId="UnresolvedMention">
    <w:name w:val="Unresolved Mention"/>
    <w:basedOn w:val="DefaultParagraphFont"/>
    <w:uiPriority w:val="99"/>
    <w:semiHidden/>
    <w:unhideWhenUsed/>
    <w:rsid w:val="002B743F"/>
    <w:rPr>
      <w:color w:val="605E5C"/>
      <w:shd w:val="clear" w:color="auto" w:fill="E1DFDD"/>
      <w:lang w:val="en-GB"/>
    </w:rPr>
  </w:style>
  <w:style w:type="character" w:styleId="Mention">
    <w:name w:val="Mention"/>
    <w:basedOn w:val="DefaultParagraphFont"/>
    <w:uiPriority w:val="99"/>
    <w:semiHidden/>
    <w:unhideWhenUsed/>
    <w:rsid w:val="002B743F"/>
    <w:rPr>
      <w:color w:val="2B579A"/>
      <w:shd w:val="clear" w:color="auto" w:fill="E1DFDD"/>
      <w:lang w:val="en-GB"/>
    </w:rPr>
  </w:style>
  <w:style w:type="character" w:styleId="SmartLink">
    <w:name w:val="Smart Link"/>
    <w:basedOn w:val="DefaultParagraphFont"/>
    <w:uiPriority w:val="99"/>
    <w:semiHidden/>
    <w:unhideWhenUsed/>
    <w:rsid w:val="002B743F"/>
    <w:rPr>
      <w:color w:val="0000FF"/>
      <w:u w:val="single"/>
      <w:shd w:val="clear" w:color="auto" w:fill="F3F2F1"/>
      <w:lang w:val="en-GB"/>
    </w:rPr>
  </w:style>
  <w:style w:type="table" w:styleId="LightShading">
    <w:name w:val="Light Shading"/>
    <w:basedOn w:val="TableNormal"/>
    <w:uiPriority w:val="60"/>
    <w:semiHidden/>
    <w:unhideWhenUsed/>
    <w:rsid w:val="002B74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74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74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74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74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74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74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MediumShading1">
    <w:name w:val="Medium Shading 1"/>
    <w:basedOn w:val="TableNormal"/>
    <w:uiPriority w:val="63"/>
    <w:semiHidden/>
    <w:unhideWhenUsed/>
    <w:rsid w:val="002B74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743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743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743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743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743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743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74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74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74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74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74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74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74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
    <w:name w:val="Colorful Shading"/>
    <w:basedOn w:val="TableNormal"/>
    <w:uiPriority w:val="71"/>
    <w:semiHidden/>
    <w:unhideWhenUsed/>
    <w:rsid w:val="002B743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743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743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743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743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743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743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ableSimple1">
    <w:name w:val="Table Simple 1"/>
    <w:basedOn w:val="TableNormal"/>
    <w:uiPriority w:val="99"/>
    <w:semiHidden/>
    <w:unhideWhenUsed/>
    <w:rsid w:val="002B743F"/>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743F"/>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74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B743F"/>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743F"/>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743F"/>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743F"/>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uiPriority w:val="99"/>
    <w:semiHidden/>
    <w:unhideWhenUsed/>
    <w:rsid w:val="002B743F"/>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743F"/>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743F"/>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743F"/>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743F"/>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rsid w:val="002B743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1Light">
    <w:name w:val="Grid Table 1 Light"/>
    <w:basedOn w:val="TableNormal"/>
    <w:uiPriority w:val="46"/>
    <w:rsid w:val="002B743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743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743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743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743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743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743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2B743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B743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B743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B743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B743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B743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1">
    <w:name w:val="Grid Table 3 Accent 1"/>
    <w:basedOn w:val="TableNormal"/>
    <w:uiPriority w:val="48"/>
    <w:rsid w:val="002B74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B743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B74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B74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B74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B743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1">
    <w:name w:val="Grid Table 4 Accent 1"/>
    <w:basedOn w:val="TableNormal"/>
    <w:uiPriority w:val="49"/>
    <w:rsid w:val="002B74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B743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B74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B74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B74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B743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5">
    <w:name w:val="Table Grid 5"/>
    <w:basedOn w:val="TableNormal"/>
    <w:uiPriority w:val="99"/>
    <w:semiHidden/>
    <w:unhideWhenUsed/>
    <w:rsid w:val="002B74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5Dark">
    <w:name w:val="Grid Table 5 Dark"/>
    <w:basedOn w:val="TableNormal"/>
    <w:uiPriority w:val="50"/>
    <w:rsid w:val="002B74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74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B74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B74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B74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B74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B74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Grid6">
    <w:name w:val="Table Grid 6"/>
    <w:basedOn w:val="TableNormal"/>
    <w:uiPriority w:val="99"/>
    <w:semiHidden/>
    <w:unhideWhenUsed/>
    <w:rsid w:val="002B74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6Colorful">
    <w:name w:val="Grid Table 6 Colorful"/>
    <w:basedOn w:val="TableNormal"/>
    <w:uiPriority w:val="51"/>
    <w:rsid w:val="002B74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743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B743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B743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B743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B743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B743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7">
    <w:name w:val="Table Grid 7"/>
    <w:basedOn w:val="TableNormal"/>
    <w:uiPriority w:val="99"/>
    <w:semiHidden/>
    <w:unhideWhenUsed/>
    <w:rsid w:val="002B743F"/>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7Colorful">
    <w:name w:val="Grid Table 7 Colorful"/>
    <w:basedOn w:val="TableNormal"/>
    <w:uiPriority w:val="52"/>
    <w:rsid w:val="002B74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743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B743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B743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B743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B743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B743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8">
    <w:name w:val="Table Grid 8"/>
    <w:basedOn w:val="TableNormal"/>
    <w:uiPriority w:val="99"/>
    <w:semiHidden/>
    <w:unhideWhenUsed/>
    <w:rsid w:val="002B743F"/>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B743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3Deffects1">
    <w:name w:val="Table 3D effects 1"/>
    <w:basedOn w:val="TableNormal"/>
    <w:uiPriority w:val="99"/>
    <w:semiHidden/>
    <w:unhideWhenUsed/>
    <w:rsid w:val="002B743F"/>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743F"/>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743F"/>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743F"/>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743F"/>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743F"/>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74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743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743F"/>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743F"/>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743F"/>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unhideWhenUsed/>
    <w:rsid w:val="002B743F"/>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2B74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2B74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2B74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2B743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743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B743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B743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B743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B743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B743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B743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743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B743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B743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B743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B743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B743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B74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743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B743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B743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B743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B743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B743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B74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74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B743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B74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B74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B74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B743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B743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743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743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743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743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743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743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743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743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B743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B743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B743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B743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B743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B743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743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743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743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743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743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743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Elegant">
    <w:name w:val="Table Elegant"/>
    <w:basedOn w:val="TableNormal"/>
    <w:uiPriority w:val="99"/>
    <w:semiHidden/>
    <w:unhideWhenUsed/>
    <w:rsid w:val="002B743F"/>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B743F"/>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lainTable1">
    <w:name w:val="Plain Table 1"/>
    <w:basedOn w:val="TableNormal"/>
    <w:uiPriority w:val="41"/>
    <w:rsid w:val="002B743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74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743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74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74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uiPriority w:val="99"/>
    <w:semiHidden/>
    <w:unhideWhenUsed/>
    <w:rsid w:val="002B743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743F"/>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743F"/>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743F"/>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743F"/>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743F"/>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Web1">
    <w:name w:val="Table Web 1"/>
    <w:basedOn w:val="TableNormal"/>
    <w:uiPriority w:val="99"/>
    <w:semiHidden/>
    <w:unhideWhenUsed/>
    <w:rsid w:val="002B743F"/>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743F"/>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743F"/>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nswerChar">
    <w:name w:val="Answer Char"/>
    <w:link w:val="Answer"/>
    <w:uiPriority w:val="6"/>
    <w:rsid w:val="002B743F"/>
    <w:rPr>
      <w:rFonts w:ascii="Verdana" w:eastAsia="Calibri" w:hAnsi="Verdana" w:cs="Times New Roman"/>
      <w:sz w:val="18"/>
      <w:lang w:val="en-GB"/>
    </w:rPr>
  </w:style>
  <w:style w:type="character" w:customStyle="1" w:styleId="FollowUpChar">
    <w:name w:val="FollowUp Char"/>
    <w:link w:val="FollowUp"/>
    <w:uiPriority w:val="6"/>
    <w:rsid w:val="002B743F"/>
    <w:rPr>
      <w:rFonts w:ascii="Verdana" w:eastAsia="Calibri"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1F73C-2937-4974-9F69-005E8AC3F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6</TotalTime>
  <Pages>10</Pages>
  <Words>3682</Words>
  <Characters>20994</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OMC - WTO</Company>
  <LinksUpToDate>false</LinksUpToDate>
  <CharactersWithSpaces>24627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del Rio, Carlos</dc:creator>
  <cp:keywords/>
  <dc:description>LDSD - DTU</dc:description>
  <cp:lastModifiedBy>Mitchell, Madeleine</cp:lastModifiedBy>
  <cp:revision>2</cp:revision>
  <dcterms:created xsi:type="dcterms:W3CDTF">2021-05-19T09:40:00Z</dcterms:created>
  <dcterms:modified xsi:type="dcterms:W3CDTF">2021-05-19T09:40:00Z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10dd1e58-0964-4a94-b619-158b24db3d6c</vt:lpwstr>
  </property>
  <property fmtid="{D5CDD505-2E9C-101B-9397-08002B2CF9AE}" pid="3" name="WTOCLASSIFICATION">
    <vt:lpwstr>WTO OFFICIAL</vt:lpwstr>
  </property>
</Properties>
</file>